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LEI Nº 15.928, DE 19 DE DEZEMBRO DE 2013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Dispõe sobre a concessão de incentivos fiscais para o fomento ao esporte no Município de São Paulo; cria a Comissão de Avaliação de Projetos Esportivos - CAPE e a Coordenadoria de Incentivos na Secretaria Municipal de Esportes, Lazer e Recreação.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FERNANDO HADDAD, Prefeito do Município de São Paulo, no uso das atribuições que lhe são conferidas por lei, faz saber que a Câmara Municipal, em sessão de 11 de dezembro de 2013, decretou e eu promulgo a seguinte lei: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1º A concessão de incentivos fiscais para o fomento ao esporte no Município de São Paulo passa a ser regida por esta lei.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Parágrafo único. Os incentivos e benefícios concedidos por esta lei têm por finalidade: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ampliar e democratizar o acesso à prática esportiva, individual ou coletiva, na Cidade de São Paulo;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estimular e promover a revelação de atletas locais;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proteger a memória das expressões esportivas da Cidade de São Paulo;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IV - estimular a requalificação urbanística por meio da recuperação ou instalação de equipamentos para a prática esportiva;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incentivar a adoção de clubes desportivos da comunidade.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TÍTULO I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DA CONCESSÃO DE INCENTIVOS FISCAIS PARA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FOMENTO AO ESPORTE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CAPÍTULO I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DOS PRINCÍPIOS GERAIS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2º A concessão de incentivos fiscais para fomento ao esporte, à pessoa física ou jurídica domiciliada no Município, observará os seguintes princípios gerais: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adoção da Cidade de São Paulo como sede geográfica dos projetos;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atendimento a projetos exclusivamente esportivos;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ampla acessibilidade ao produto resultante do projeto;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IV - imprescindibilidade de investimento público;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V - limite máximo de projetos por empreendedor;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 - proibição de patrocínio quando exista vínculo entre o empreendedor e o patrocinador;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VII - adoção de limite máximo de investimento por projeto;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VIII - veiculação anual de edital para a apresentação de projetos;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IX - incentivo à adoção de clubes desportivos da comunidade para a formação de vínculos perenes e assegurar a sua sustentabilidade.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3º Para fins do disposto nesta lei considera-se: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patrocínio: a transferência gratuita, em caráter definitivo, de valores em pecúnia ou bens, móveis ou imóveis, ou a permissão de sua utilização sem transferência de domínio, ou a cobertura de gastos, sempre destinados à realização de projetos esportivos nos termos definidos por esta lei, com ou sem finalidade promocional e institucional de publicidade, em troca do benefício fiscal instituído pelo art. 8º desta lei;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doação: a transferência gratuita, em caráter definitivo, de valores em pecúnia ou bens, móveis ou imóveis, ou a permissão de sua utilização sem transferência de domínio, ou a cobertura de gastos, sempre destinados à realização de projetos esportivos nos termos definidos por esta lei, com ou sem finalidade promocional e institucional de publicidade, sem o benefício fiscal instituído pelo art. 8º desta lei;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III - patrocinador: a pessoa física ou jurídica, contribuinte do ISS ou IPTU, que 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apoie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projetos aprovados pela Secretaria Municipal de Esportes, Lazer e Recreação, nos termos do inciso I deste artigo;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IV - doador: a pessoa física ou jurídica que 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apoie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projetos aprovados pela Secretaria Municipal de Esportes, Lazer e Recreação, nos termos do inciso II deste artigo;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proponente ou empreendedor: atleta, em nome próprio, ou pessoa jurídica de fins não econômicos e natureza esportiva, que propõe o projeto de caráter esportivo que será patrocinado e, uma vez aprovado pela Secretaria Municipal de Esportes, Lazer e Recreação, será o responsável por sua fiel execução e pela apresentação da prestação de contas do projeto;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VI - proponente-beneficiário: autor de projeto para incentivo nas hipóteses previstas pelos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Capítulos III e IV, do Título I desta lei, que independem de patrocínio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de terceiros.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4º Somente poderão ser beneficiados, pelos incentivos estabelecidos nesta lei, os projetos esportivos: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em que o empreendedor não tenha vínculos com o patrocinador, nas hipóteses do Capítulo II, do Título I, desta lei;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II - que não tenham recebido recursos do Município a qualquer título para a sua realização;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cujo empreendedor ou proponente-beneficiário não receba do Município incentivo ou recursos financeiros de qualquer natureza, exceto subvenção;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IV - cujo empreendedor pessoa física ou jurídica ou proponente-beneficiário esteja domiciliado no Município há no mínimo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(dois) anos;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cujo empreendedor não esteja inscrito no CADIN municipal, além de estar em situação regular perante o INSS e o FGTS.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5º Os incentivos concedidos por esta lei não poderão ser utilizados para pagamento de: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débitos tributários decorrentes de fatos geradores anteriores à data de conclusão do patrocínio;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débitos tributários apurados após iniciada a ação fiscal;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multa moratória, juros de mora e correção monetária;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IV - Imposto sobre Serviços de Qualquer Natureza - ISS retido na fonte;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Imposto sobre Serviços de Qualquer Natureza - ISS para fins de obtenção do Certificado de Conclusão da Obra (Habite-se);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 - Imposto sobre Serviços de Qualquer Natureza - ISS dos optantes pelo Regime Especial Unificado de Arrecadação de Tributos e Contribuições devidos pelas Microempresas e Empresas de Pequeno Porte - Simples Nacional.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6º A Lei Orçamentária fixará anualmente o valor que deverá ser utilizado como incentivo fiscal para o fomento ao esporte no Município de São Paulo, a ser consignado em dotação específica, que não poderá ser inferior a 10% (dez por cento) do orçamento estabelecido para a Secretaria Municipal de Esportes, Lazer e Recreação.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7º O incentivo fiscal corresponderá à emissão de certificado de incentivo, com validade de um ano, pela Secretaria Municipal de Esportes, Lazer e Recreação, aos contribuintes do Imposto sobre Serviços de Qualquer Natureza - ISS ou Imposto Predial e Territorial Urbano - IPTU, conforme o caso, nos percentuais específicos, que fomentem o esporte no Município de São Paulo, em uma ou mais das seguintes modalidades: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patrocínio de projetos de caráter esportivo ou adoção de clubes desportivos da comunidade, ou promoção da requalificação de equipamentos esportivos da administração direta municipal;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implantação e conservação de áreas de uso público, em terrenos privados, para esporte e lazer da população;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III - concessão de aulas gratuitas de modalidades esportivas em espaços públicos e de bolsas integrais anuais para a terceira idade para aulas de ginástica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, dança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>, esportes, natação, artes marciais e demais atividades físicas.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CAPÍTULO II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DO INCENTIVO FISCAL A PROJETOS ESPORTIVOS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8º O incentivo fiscal para projetos esportivos corresponderá à emissão de certificado de incentivo que poderá ser usado da seguinte forma: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até 70% (setenta por cento) do valor do patrocínio para o pagamento de até 50% (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cinquenta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por cento) do Imposto sobre Serviços de Qualquer Natureza - ISS ou Imposto Predial e Territorial Urbano - IPTU devido pelo patrocinador, exceto nas hipóteses previstas no inciso II;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- 100% (cem por cento) do valor do patrocínio para o pagamento de até 50% (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cinquenta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por cento) do Imposto sobre Serviços de Qualquer Natureza - ISS ou Imposto Predial e Territorial Urbano - IPTU devido pelo patrocinador, nas seguintes hipóteses: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a) fizer a adoção de clubes desportivos da comunidade pelo prazo mínimo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(dois) anos;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b) requalificar equipamento esportivo de administração direta municipal.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9º Para requerer a obtenção do incentivo fiscal, além dos demais requisitos que forem exigidos em cada edital, deverá o empreendedor apresentar o projeto explicitando os objetivos e recursos financeiros e humanos envolvidos, para fins de fixação do valor do incentivo e fiscalização posterior, sendo que na hipótese de adoção de clubes desportivos da comunidade o projeto deverá ser plurianual.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Parágrafo único. Só serão admitidos projetos que já contenham a intenção de patrocínio.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10. A concessão de incentivo fiscal para a realização de projetos de caráter esportivo para as áreas adiante elencadas, a serem realizados no Município de São Paulo, fica limitada aos valores totais máximos indicados, ainda que o projeto vise a concretizar mais de um produto: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 - projetos voltados como disciplina ou atividade extracurricular desportiva no âmbito da educação básica, fundamental, média e superior, que promovam atividades no 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contraturno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escolar e objetivem o desenvolvimento integral do indivíduo, com duração de até 12 (doze) meses: R$ 500.000,00 (quinhentos mil reais);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projetos de formação voltados para a iniciação e desenvolvimento motor geral de crianças e adolescentes por meio da prática de atividades esportivas orientadas, com duração de até 12 (doze) meses: R$ 600.000,00 (seiscentos mil reais);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III - projetos voltados para o rendimento, que objetivem finalizar a formação e iniciar o rendimento desportivo, de forma técnica e metodológica, na área do treinamento desportivo, atendendo </w:t>
      </w: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equipes e atletas com idade igual ou superior a 14 (quatorze) anos, vinculados a entidades de práticas desportivas e orientados para a formação e especialização, inclusive de alto rendimento, com duração de até 12 (doze) meses: R$ 600.000,00 (seiscentos mil reais);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IV - projetos que utilizem o desporto como ferramenta de inserção social, democratizando oportunidades para práticas desportivas, especialmente para pessoas em condições de vulnerabilidade social, com duração de mínima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6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(seis) meses e máxima de 12 (doze) meses: R$ 600.000,00 (seiscentos mil reais);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projetos, no valor de até R$ 400.000,00 (quatrocentos mil reais) voltados para ampla participação de pessoas em eventos desportivos que: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a) evitem a seletividade e a 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hipercompetitividade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de seus participantes, atendendo crianças, adolescentes, adultos, idosos, pessoas com deficiências, além de modalidades e respectivos públicos que sintetizem atividades físicas representativas de valores da nossa identidade cultural, com duração máxima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(três) meses;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b) objetivem a distribuição gratuita de ingressos para eventos de caráter desportivo e 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paradesportivo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por pessoa jurídica, para integrantes da rede pública municipal de ensino ou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a integrantes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de comunidades vulneráveis, condição a ser devidamente comprovada já na apresentação do projeto;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VI - projetos voltados para a capacitação, treinamento, intercâmbios nacionais e internacionais e bolsas de treinamento, objetivando atender técnicos, atletas e gestores desportivos buscando desenvolver e aperfeiçoar a gestão sobre a administração, técnicas e equipamentos desportivos, com duração máxima de 12 (doze) meses: até R$ 150.000,00 (cento e 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cinquenta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mil reais);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VII - projetos que beneficiem exclusivamente a órgão público, fundação, associação civil sem fins lucrativos, organização social ou organização da sociedade civil de interesse público, com sede ou filial no Município de São Paulo há mais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5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(cinco) anos, que detenham certificado de utilidade pública ou de interesse público: até R$ 500.000,00 (quinhentos mil reais) para restauração, ampliação, adequação ou informatização de acervos de memória esportiva que estejam permanentemente abertos à visitação pública, vedado o benefício a projetos destinados a acervos de acesso restrito aos associados;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VIII - projetos voltados à construção, reformas e adequação de espaços, equipamentos e instalações desportivas de administração direta municipal desde que devidamente autorizado pelo órgão responsável e acompanhado de compromisso de conclusão da obra no prazo máximo de dois anos a contar do efetivo recebimento dos valores incentivados: R$ 2.000.000,00 (dois milhões de reais);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IX - projetos de adoção de clubes desportivos da comunidade pelo prazo mínimo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(dois) anos: R$ 2.000.000,00 (dois milhões de reais).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§ 1º Os valores previstos neste artigo serão corrigidos em janeiro de cada ano pelo IPCA - Índice de Preços ao Consumidor Amplo, ou na hipótese de sua extinção, pelo índice que o substituir, ou, não havendo substituição, por outro índice oficial definido pela Secretaria Municipal de Finanças.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§ 2º Projetos que contemplem atividades esportivas e obras não enquadradas nos incisos deste artigo serão submetidos ao órgão técnico a que alude o art. 17 desta lei, o qual deliberará sobre a concessão e o valor do incentivo.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§ 3º Em casos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excepcionais, de manifesto interesse público, que não poderão abranger as hipóteses dos incisos VII, VIII e IX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>, poderão ser aprovados incentivos a projetos cuja realização das atividades ocorra também fora da Cidade de São Paulo.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11. Não poderá ser patrocinador: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o próprio proponente, seu cônjuge ou parente até o terceiro grau, inclusive os afins;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quem mantenha ou tenha mantido os seguintes vínculos com o proponente do projeto: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a) pessoa jurídica da qual o proponente seja, ou tenha sido nos doze meses anteriores à publicação do edital, titular administrador, gerente, acionista ou sócio;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b) a pessoa jurídica ou física mantenedora ou partícipe da administração do proponente;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c) que apresente qualquer outro vínculo que, a juízo da Administração, possa gerar confusão entre o proponente e o patrocinador;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quem, no período de cinco anos anteriores à data de publicação do edital, não tenha honrado com repasse de valores para patrocínio de projetos beneficiados por incentivo fiscal municipal, e tenha sido formalmente declarado pela Administração, em processo administrativo regular, que a ausência do repasse comprometeu a realização do projeto;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IV - quem não tenha prestado contas ou as tenha prestado irregularmente, em convênios ou ajustes similares, celebrados com a Secretaria Municipal de Esportes, Lazer e Recreação;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quem esteja inscrito no CADIN municipal ou em situação irregular perante o INSS e o FGTS.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12. Não poderão concorrer à concessão dos incentivos e benefícios previstos pelo art. 8º desta lei, dentre outros, os projetos que prevejam: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pagamento de salários a atletas ou remuneração a entidades de administração ou de prática desportiva de qualquer modalidade;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apresentações de atletas internacionais, exceto quando a apresentação for pública e tiver uma cota mínima de gratuidade de 25% (vinte e cinco por cento);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eventos promovidos por escolas, colégios, academias e similares, mesmo que veiculem conteúdo exclusivamente esportivo, quando houver cobrança de ingresso;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IV - palestras, oficinas e cursos de temas não relacionados diretamente com atividades desportivas;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V - despesas de manutenção e organização de equipes profissionais;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 - aquisição de espaços publicitários em qualquer meio de comunicação;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VII - projetos de conteúdo sectário ou segregacionista atinente à raça, cor, sexo e religião.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CAPÍTULO III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DO INCENTIVO FISCAL À IMPLANTAÇÃO E CONSERVAÇÃO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DE ÁREAS PÚBLICAS PARA ESPORTE E LAZER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13. O incentivo fiscal para a destinação pública de áreas privadas para esporte e lazer, em imóveis que sejam classificados como terrenos não edificados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, corresponderá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à emissão de Certificado Anual para pagamento do Imposto Predial e Territorial Urbano - IPTU, em percentuais calculados sobre o valor do tributo relativo ao imóvel destinado ao projeto, da seguinte maneira: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- 5% (cinco por cento) na aprovação do projeto;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- 10% (dez por cento) no segundo ano;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- 15% (quinze por cento) no terceiro ano;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IV - 20% (vinte por cento) no quarto ano;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- 25% (vinte e cinco por cento) no quinto ano;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 - 30% (trinta por cento) no sexto ano;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VII - 35% (trinta e cinco por cento) no sétimo ano;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VIII - 40% (quarenta por cento) no oitavo ano;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IX - 45% (quarenta e cinco por cento) no nono ano;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X - 50% (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cinquenta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por cento) a partir do décimo ano.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§ 1º A concessão do incentivo obedecerá, ainda, as seguintes condições: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o projeto para a área deverá ser aprovado pela Secretaria Municipal de Esportes, Lazer e Recreação, quanto aos aspectos esportivos e pela Subprefeitura da região quanto aos demais;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II - não poderá haver outra área semelhante, destinada ao mesmo fim, no raio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(dois) quilômetros;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III - a emissão do certificado a partir do segundo ano não será automática, devendo ser requerida pelo proponente-beneficiário, junto à Secretaria Municipal de Esportes, Lazer e Recreação que, para emiti-lo deverá verificar a manutenção das condições exigidas.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§ 2º Não será emitido o Certificado Anual a que alude o “caput” deste artigo, quando: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a área deixar de ser destinada ao esporte por vontade do proprietário ou da Secretaria Municipal de Esportes, Lazer e Recreação;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houver cobrança de quaisquer valores pelo uso da área pela comunidade ou na ausência de manutenção adequada, comprovadas em devido processo legal, sendo que, nesta hipótese, a mesma área não poderá ser objeto do benefício por cinco exercícios fiscais.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CAPÍTULO IV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DO INCENTIVO À PRÁTICA DE ATIVIDADES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FÍSICAS E ESPORTIVAS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14. O incentivo fiscal à prática de atividades físicas e esportivas corresponderá à emissão de certificado que poderá ser usado para pagamento de até 50% (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cinquenta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por cento) do Imposto sobre Serviços de Qualquer Natureza - ISS devido pelos prestadores de serviços de ginástica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, dança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>, esportes, natação, artes marciais e demais atividades físicas, que implantarem uma ou mais das seguintes atividades para a população: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 - concessão de aulas gratuitas, no mínimo semanalmente, pelo período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1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(um) ano, em espaços públicos tais como praças e parques ou centros esportivos municipais: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a) que distem mais de 10 quilômetros do centro da Cidade: pagamento de até 40% (quarenta por cento) do Imposto sobre Serviços de Qualquer Natureza – ISS;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b) na área inserida no raio de até 10 quilômetros do centro da Cidade: pagamento de até 10% (dez por cento) do Imposto sobre Serviços de Qualquer Natureza – ISS;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concessão a portadores do “Bilhete Único Especial – Idoso” emitido pela São Paulo Transporte S.A., ou documento que vier a substituí-lo, de bolsas integrais anuais correspondentes a 5% (cinco por cento) das vagas oferecidas nos cursos ministrados pelo prestador de serviços: pagamento de até 30% (trinta por cento) do Imposto sobre Serviços de Qualquer Natureza – ISS.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Parágrafo único. O certificado será emitido de acordo com os percentuais determinados nos editais anuais para apresentação dos projetos, calculados sobre os valores recolhidos a título de Imposto sobre Serviços de Qualquer Natureza – ISS, pelo proponente-beneficiário, no exercício anterior.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Art. 15. Todas as atividades propostas pelo proponente-beneficiário para o fim da emissão do certificado previsto pelo art. 14 deverão ser previamente aprovadas pela Secretaria Municipal de Esportes, Lazer e Recreação e no que se refere ao inciso I, autorizadas pelo órgão responsável pela </w:t>
      </w: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área onde a atividade será desenvolvida, tais como subprefeitura da região, Secretaria Municipal do Verde e do Meio Ambiente quando tratar-se de parque por ela administrado, órgão estadual no caso de parques estaduais, etc.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TÍTULO II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DA AVALIAÇÃO E FISCALIZAÇÃO DOS PROJETOS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E DOS INCENTIVOS CONCEDIDOS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CAPÍTULO I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DOS ÓRGÃOS DE AVALIAÇÃO E FISCALIZAÇÃO, SUA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ORGANIZAÇÃO, ATRIBUIÇÕES E COMPETÊNCIAS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16. A avaliação e a fiscalização dos projetos que objetivem a obtenção de incentivo nos termos estabelecidos por esta lei serão realizadas pelas seguintes instâncias da Secretaria Municipal de Esportes, Lazer e Recreação: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Comissão de Avaliação de Projetos Esportivos – CAPE;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Coordenadoria de Incentivos – CINCE.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Art. 17. Fica criada a Comissão de Avaliação de Projetos Esportivos –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CAPE,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independente e autônoma em suas decisões, administrativamente vinculada à Coordenadoria de Incentivos da Secretaria Municipal de Esportes, Lazer e Recreação, com a competência de: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receber os projetos apresentados, analisar sua pertinência conforme as disposições desta lei, do decreto regulamentar e do edital anual em reuniões abertas ao público;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aprovar ou rejeitar os projetos apresentados, mediante parecer claro e fundamentado, que resulte em decisão a ser publicada no Diário Oficial da Cidade, avaliando, também, os seguintes aspectos: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a) aspectos orçamentários: pertinência de custos e o montante de seus valores;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b) viabilidade técnica: qualidade do projeto e capacidade do proponente para a sua realização;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c) interesse público: benefícios que poderão advir de sua realização e capacidade de estimular e difundir a prática desportiva;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d) a imprescindibilidade do incentivo fiscal municipal para a sua realização;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III - fixar o valor do incentivo a ser concedido por projeto individualmente, respeitando os limites estabelecidos pelo art. 12 desta lei e independentemente do valor solicitado, e propondo, quando for o caso, a adequação orçamentária dos projetos, considerando, em especial: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a) a disponibilidade orçamentária e financeira para a concessão do benefício;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b) o maior ou menor grau de atendimento aos requisitos constantes do inciso II deste artigo;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c) o interesse na sua realização, priorizando as ações que visem a atingir as comunidades com menor acesso à prática desportiva;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IV - propor as regras que deverão constar do edital, para a inscrição de projetos;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aprovar ou rejeitar, em caráter preliminar, mediante parecer claro e fundamentado, projetos de incentivo à prática física e esportiva a que se refere o art. 14 desta lei.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Art. 18. A Comissão de Avaliação de Projetos Esportivos – CAPE será formada por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7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(sete) membros, indicados pelo Titular da Pasta, dos quais: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- 3 (três) serão de sua livre escolha, dentre pessoas com experiência na área esportiva, servidores municipais ou não, sendo um deles o presidente;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- 2 (dois) serão servidores efetivos da Pasta;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- 2 (dois) serão representantes da sociedade civil, escolhidos dentre pessoas com experiência na área esportiva.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Parágrafo único. Aos membros da Comissão, que deverão ter um mandato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(dois) anos, podendo ser reconduzidos, não será permitida a apresentação de projetos durante o período de mandato, vedação que se estende à pessoa jurídica da qual faça parte.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Art. 19. Fica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criada, na Secretaria Municipal de Esportes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>, Lazer e Recreação, a Coordenadoria de Incentivos – CINCE, com a competência de: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acompanhar a execução dos projetos e, ao final, emitir laudo de avaliação do qual deverá constar uma comparação entre os objetivos propostos e atingidos, os custos estimados e reais, os resultados, o acesso da população ao projeto e a sua repercussão no Município;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avaliar as prestações de contas, nas hipóteses dos projetos previstos pelo art. 8º desta lei, do ponto de vista da prática esportiva e da correspondência com o projeto apresentado;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aprovar ou rejeitar os projetos de implantação de áreas públicas, de uso inteiramente gratuito, para esporte e lazer a que se refere o art. 13 desta lei, podendo solicitar auxílio da CAPE, se necessário, bem como fiscalizar, por meio de visitas ao menos semestrais, a manutenção dos imóveis em que tenha havido implantação dessas áreas comunitárias;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IV - aprovar ou rejeitar, em caráter definitivo, mediante decisão fundamentada, projetos de incentivo à prática física e esportiva a que se refere o art. 14 desta lei, podendo solicitar auxílio da CAPE, se necessário;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manter endereço eletrônico na página oficial da Prefeitura, com todas as informações atualizadas sobre os projetos aprovados, tais como valor do incentivo, patrocinador, fase de execução, penalidades, etc.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CAPÍTULO II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DA INEXECUÇÃO OU EXECUÇÃO IRREGULAR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DOS PROJETOS ESPORTIVOS INCENTIVADOS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20. Aprovado o projeto, o empreendedor firmará ajuste com o Município de São Paulo, por meio da Secretaria Municipal de Esportes, Lazer e Recreação, do qual constará o compromisso de cumprimento integral do projeto apresentado e, no caso de projeto beneficiado nos termos do art. 8º, também o compromisso de apresentação de prestações de contas, contábil e de execução.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Parágrafo único. Da decisão que não aprovar o projeto e que não conceder o incentivo, caberá recurso à Comissão de Avaliação de Projetos Esportivos – CAPE, ou à Coordenadoria de Incentivos – CINCE, conforme a natureza do projeto, a qual poderá reconsiderar sua decisão, no prazo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5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(cinco) dias úteis, ou, nesse mesmo prazo, fazê-lo subir, devidamente informado, ao Secretário Municipal de Esportes, Lazer e Recreação, ou autoridade delegada, para decisão final.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Art. 21. A inexecução do projeto beneficiado nos termos do Capítulo II, do Título I, desta lei, ou a execução de forma diversa da proposta e dos termos constantes do ajuste que altere suas características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fundamentais, garantida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a defesa prévia, ensejará ao empreendedor: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advertência, que será aplicada pelo cometimento de irregularidades de menor potencial ofensivo, especialmente pelo não atendimento no prazo determinado de solicitações de esclarecimentos ou adoção de providências, e desde que ainda seja possível e útil instar o empreendedor a reconduzir o projeto às suas características originais, quando for essa a hipótese, limitada a três;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II - pagamento de multa de 0,5% (cinco décimos por cento) do valor do incentivo por dia de atraso na apresentação das prestações de contas, limitado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a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trinta dias, prazo após o qual incidirá a penalidade prevista no inciso V deste artigo, observado o § 3º do art. 23, e o projeto será considerado não realizado, com as 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consequências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respectivas;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multa de 10% (dez por cento) sobre o valor total do incentivo, quando: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a) a prestação de contas for rejeitada pela não comprovação da divulgação do apoio da Municipalidade ao projeto;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b) o empreendedor não mantiver atualizado o seu cadastro perante a Comissão de Avaliação de Projetos Esportivos – CAPE;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IV - multa de 20% (vinte por cento) sobre o valor total do incentivo, quando: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a) não forem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recolhidos ao Fundo Municipal de Esportes, Lazer e Recreação na forma e no prazo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determinados, quaisquer valores devidos pelo empreendedor;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b) pela aplicação da terceira advertência;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V - o pagamento de multa correspondente a até três vezes o valor do incentivo e suspensão, pelo prazo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(dois) anos, do direito de contratar com o Município de São Paulo e dele receber incentivos de qualquer natureza, observado o princípio da proporcionalidade e o princípio da dosimetria das penas, quando: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a) não realizar o projeto incentivado;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b) as prestações de contas forem integralmente rejeitadas;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c) não aplicar os recursos integralmente no projeto apresentado;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d) deixar de prestar as contas respectivas dentro do prazo previsto;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VI - a rejeição da prestação de contas pela constatação de dolo, desvio do objeto ou recursos, ou, a critério da Comissão de Avaliação de Projetos Esportivos – CAPE, pela falta que tenha relevante gravidade, corresponderá automaticamente à inabilitação pelo prazo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5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(cinco) anos para recebimento de novos recursos.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Parágrafo único. Este artigo aplica-se, no que couber, às hipóteses de inexecução ou execução irregular de projetos beneficiados nos termos dos Capítulos III e IV, do Título I, desta lei.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22. O empreendedor estará sujeito ainda, conforme o caso: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ao recolhimento ao Fundo Municipal de Esportes, Lazer e Recreação do valor total recebido a título de incentivo, devidamente atualizado, no prazo de 15 (quinze) dias do despacho que o determinar, nas seguintes hipóteses: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a) quando não for apresentada a prestação de contas dentro do prazo previsto;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b) não realização do projeto;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c) não recolhimento aos cofres públicos das multas previstas no artigo anterior, no prazo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5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(cinco) dias contados da data da publicação do despacho no Diário Oficial da Cidade;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d) não recolhimento ao Fundo Municipal de Esportes, Lazer e Recreação das despesas glosadas;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à inscrição no Cadastro Informativo Municipal – CADIN municipal;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III - à comunicação do fato ao Ministério Público, quando houver indício de crime ou ato de improbidade.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Parágrafo único. Este artigo aplica-se, no que couber, às hipóteses de inexecução ou execução irregular de projetos beneficiados nos termos dos Capítulos III e IV, do Título I, desta lei.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23. A aplicação das penalidades, ou sua dispensa, é de competência do Secretário Municipal de Esportes, Lazer e Recreação, que poderá delegá-la, e deverá ser precedida de manifestação opinativa da Coordenadoria de Incentivos e, quando for o caso, da Comissão de Avaliação de Projetos Esportivos – CAPE, após a concessão de oportunidade de defesa prévia ao empreendedor ou ao proponente-beneficiário.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§ 1º Para a dispensa de aplicação das penalidades é imprescindível que o empreendedor comprove, por meio de documentação contemporânea aos fatos alegados, a ocorrência de evento que o impediu inapelavelmente do cumprimento da obrigação, caracterizando força maior, seguida de expressa manifestação da Coordenadoria de Incentivos e, quando for o caso, da Comissão de Avaliação de Projetos Esportivos – CAPE.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§ 2º Transcorrido “in 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albis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” o prazo recursal, de 10 (dez) dias úteis,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contados da publicação da pena imposta no </w:t>
      </w:r>
      <w:proofErr w:type="spellStart"/>
      <w:r w:rsidRPr="001A30E3">
        <w:rPr>
          <w:rFonts w:asciiTheme="minorHAnsi" w:hAnsiTheme="minorHAnsi" w:cs="Arial"/>
          <w:color w:val="000000"/>
          <w:sz w:val="22"/>
          <w:szCs w:val="22"/>
        </w:rPr>
        <w:t>D.O.C.</w:t>
      </w:r>
      <w:proofErr w:type="spellEnd"/>
      <w:r w:rsidRPr="001A30E3">
        <w:rPr>
          <w:rFonts w:asciiTheme="minorHAnsi" w:hAnsiTheme="minorHAnsi" w:cs="Arial"/>
          <w:color w:val="000000"/>
          <w:sz w:val="22"/>
          <w:szCs w:val="22"/>
        </w:rPr>
        <w:t>, ou indeferido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o recurso, o pagamento das multas e o recolhimento do valor do incentivo, ou dos valores glosados deverão ser realizados no prazo improrrogável de 10 (dez) dias úteis, após o qual a Coordenadoria de Incentivos deverá encaminhar o processo respectivo para inscrição na dívida ativa e cobrança judicial e, quando cabível, comunicação do fato ao Ministério Público, ouvida, previamente, a Assessoria Jurídica.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§ 3º O empreendedor poderá, justificadamente, solicitar à Coordenadoria de Incentivos a ampliação do prazo previsto no edital para a prestação de contas, em até, no máximo, 90 (noventa) dias.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§ 4º Não cabe recurso da decisão que glosar despesas da prestação de contas, cabendo, porém, pedido de reconsideração no prazo improrrogável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5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(cinco) dias úteis, dirigido à Coordenadoria de Incentivos, desde que devidamente justificado e documentado, não bastando mera alegação do empreendedor quanto à sua regularidade.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24. Se caracterizado conluio, o patrocinador responderá solidariamente pelo pagamento das multas e pela devolução do valor do incentivo, além de ficar impedido de receber o incentivo fiscal relativo ao projeto viciado, ou a qualquer outro pelo prazo de 10 (dez) anos.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Art. 25. O patrocinador que não honrar com o repasse de valores para o patrocínio de projeto esportivo e com isso impedir a sua realização, ou comprometê-la gravemente, será declarado pela Administração, em processo administrativo regular, impedido de patrocinar projetos por esta lei pelo prazo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5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(cinco) anos.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CAPÍTULO III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DAS DEMAIS INFRAÇÕES E SANÇÕES CABÍVEIS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>Art. 26. Constituem infração aos dispositivos desta lei: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o recebimento pelo patrocinador de qualquer vantagem financeira ou material em decorrência do patrocínio que com base nela efetuar;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agir o patrocinador, o proponente-empreendedor ou o proponente-beneficiário com dolo, fraude ou simulação para utilizar incentivo nela previsto;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III - desviar para finalidade diversa da fixada nos respectivos projetos dos recursos, bens, valores ou benefícios com base nela obtidos;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IV - adiar, antecipar ou cancelar, sem justa causa, atividade desportiva beneficiada pelos incentivos nela previsto;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V - o descumprimento de qualquer das suas disposições ou das estabelecidas em sua regulamentação.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27. As infrações aos dispositivos desta lei, sem prejuízo das demais sanções cabíveis, sujeitarão o beneficiário do Certificado: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 - à devolução do valor correspondente;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II - ao pagamento de multa correspondente a duas vezes o valor da vantagem auferida indevidamente, sem prejuízo do disposto no inciso I deste artigo.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TÍTULO III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DISPOSIÇÕES FINAIS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28. Os benefícios fiscais previstos por esta lei passam a vigorar a partir do primeiro dia do exercício seguinte ao da data de sua publicação e não eximem seus beneficiários da inscrição e atualização de seus dados no Cadastro de Contribuintes Mobiliários – CCM, quando for o caso, e do cumprimento das demais obrigações acessórias.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29. Nenhum patrocínio esportivo poderá ser concedido sem que o projeto tenha se submetido à avaliação prevista por esta lei, exceto em casos excepcionais, devidamente justificados pela CAPE e autorizados pelo Prefeito, hipótese em que a despesa onerará a dotação própria e não a prevista pelo art. 6º desta lei.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30. Será devida gratificação, que não se incorporará em qualquer hipótese ao salário e somente será devida durante o mandato ou designação, aos servidores e não-servidores, a qual poderá onerar a dotação destinada à concessão do benefício fiscal até 2,5% (dois inteiros e cinco décimos por cento) de seu total com relação aos membros não-servidores, nos seguintes termos: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I - aos integrantes da Comissão de Avaliação de Projetos Esportivos – CAPE, no valor equivalente a 10% do DAS-15, por sessão em que comparecerem, até o máximo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4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sessões mensais;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II - ao servidor lotado na Coordenadoria de Incentivos designado para secretariar as reuniões da Comissão de Avaliação de Projetos Esportivos – CAPE, no valor equivalente a 2% do DAS-15, por sessão que secretariar, até o máximo de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4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sessões mensais.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31. Os cargos da Coordenadoria de Incentivos são definidos no Anexo Único integrante desta lei, com a sua respectiva forma de provimento e referência de vencimento.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32. Em todos os projetos incentivados por esta lei deverá constar claramente de todo o material de divulgação, inclusive eventuais inserções em mídia de rádio, cinema, televisão, telefonia móvel e Internet, o apoio institucional da Prefeitura do Município de São Paulo, conforme especificado em decreto regulamentar, sob pena de devolução do valor total do incentivo.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Parágrafo único. Quando o incentivo for destinado à recuperação de imóvel, implantação de área pública esportiva, formação, recuperação ou catalogação de acervo, deverá, também, ser afixada no local placa permanente informativa do benefício concedido, com dimensões e dizeres a </w:t>
      </w:r>
      <w:proofErr w:type="gramStart"/>
      <w:r w:rsidRPr="001A30E3">
        <w:rPr>
          <w:rFonts w:asciiTheme="minorHAnsi" w:hAnsiTheme="minorHAnsi" w:cs="Arial"/>
          <w:color w:val="000000"/>
          <w:sz w:val="22"/>
          <w:szCs w:val="22"/>
        </w:rPr>
        <w:t>serem</w:t>
      </w:r>
      <w:proofErr w:type="gramEnd"/>
      <w:r w:rsidRPr="001A30E3">
        <w:rPr>
          <w:rFonts w:asciiTheme="minorHAnsi" w:hAnsiTheme="minorHAnsi" w:cs="Arial"/>
          <w:color w:val="000000"/>
          <w:sz w:val="22"/>
          <w:szCs w:val="22"/>
        </w:rPr>
        <w:t xml:space="preserve"> estabelecidos por decreto regulamentar, sob pena de devolução do valor total do incentivo.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33. Em 1º de outubro de cada ano, o saldo porventura existente na dotação orçamentária destinada à concessão de incentivo fiscal, nos termos do art. 6º desta lei, que não tiver previsão de utilização no exercício, será automaticamente transferido para a dotação do Fundo Municipal de Esportes, Lazer e Recreação, regido pela Lei nº 13.790, de 13 de fevereiro de 2004.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34. As despesas com a execução desta lei correrão por conta das dotações orçamentárias próprias, suplementadas se necessário.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35. Caberá ao Executivo a regulamentação da presente lei no prazo de 90 (noventa) dias a contar de sua publicação.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Art. 36. Esta lei entra em vigor na data da sua publicação.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PREFEITURA DO MUNICÍPIO DE SÃO PAULO, aos 19 de dezembro de 2013, 460º da fundação de São Paulo.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FERNANDO HADDAD, PREFEITO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ROBERTO NAMI GARIBE FILHO, Respondendo pelo cargo de Secretário do Governo Municipal</w:t>
      </w:r>
    </w:p>
    <w:p w:rsidR="00154E22" w:rsidRPr="001A30E3" w:rsidRDefault="00154E22" w:rsidP="00154E22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1A30E3">
        <w:rPr>
          <w:rFonts w:asciiTheme="minorHAnsi" w:hAnsiTheme="minorHAnsi" w:cs="Arial"/>
          <w:color w:val="000000"/>
          <w:sz w:val="22"/>
          <w:szCs w:val="22"/>
        </w:rPr>
        <w:t>Publicada na Secretaria do Governo Municipal, em 19 de dezembro de 2013.</w:t>
      </w:r>
    </w:p>
    <w:p w:rsidR="00154E22" w:rsidRPr="001A30E3" w:rsidRDefault="00154E22" w:rsidP="00154E22">
      <w:pPr>
        <w:rPr>
          <w:rFonts w:asciiTheme="minorHAnsi" w:hAnsiTheme="minorHAnsi"/>
          <w:sz w:val="22"/>
          <w:szCs w:val="22"/>
        </w:rPr>
      </w:pPr>
    </w:p>
    <w:p w:rsidR="00813CBB" w:rsidRPr="00D06D2A" w:rsidRDefault="00813CBB" w:rsidP="00D06D2A">
      <w:pPr>
        <w:rPr>
          <w:szCs w:val="22"/>
        </w:rPr>
      </w:pPr>
    </w:p>
    <w:sectPr w:rsidR="00813CBB" w:rsidRPr="00D06D2A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07" w:rsidRDefault="005D5507">
      <w:r>
        <w:separator/>
      </w:r>
    </w:p>
  </w:endnote>
  <w:endnote w:type="continuationSeparator" w:id="1">
    <w:p w:rsidR="005D5507" w:rsidRDefault="005D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7" w:rsidRPr="009D32C2" w:rsidRDefault="005D5507" w:rsidP="000B684E">
    <w:pPr>
      <w:pStyle w:val="Rodap"/>
      <w:ind w:right="360"/>
      <w:jc w:val="center"/>
      <w:rPr>
        <w:rFonts w:ascii="Calibri" w:hAnsi="Calibri" w:cs="Calibri"/>
        <w:b/>
        <w:bCs/>
      </w:rPr>
    </w:pPr>
    <w:r w:rsidRPr="009D32C2">
      <w:rPr>
        <w:rFonts w:ascii="Calibri" w:hAnsi="Calibri" w:cs="Calibri"/>
        <w:b/>
        <w:bCs/>
      </w:rPr>
      <w:t>Prefeitura de São Paulo | Secretaria de Esportes, Lazer e Recreação | CINCE</w:t>
    </w:r>
  </w:p>
  <w:p w:rsidR="00BC5D03" w:rsidRDefault="005D5507" w:rsidP="00732CBD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</w:t>
    </w:r>
    <w:r w:rsidRPr="009D32C2">
      <w:rPr>
        <w:rFonts w:ascii="Calibri" w:hAnsi="Calibri" w:cs="Calibri"/>
        <w:b/>
        <w:bCs/>
      </w:rPr>
      <w:t xml:space="preserve"> Pedro de Toledo, 16</w:t>
    </w:r>
    <w:r>
      <w:rPr>
        <w:rFonts w:ascii="Calibri" w:hAnsi="Calibri" w:cs="Calibri"/>
        <w:b/>
        <w:bCs/>
      </w:rPr>
      <w:t>51</w:t>
    </w:r>
    <w:r w:rsidRPr="009D32C2">
      <w:rPr>
        <w:rFonts w:ascii="Calibri" w:hAnsi="Calibri" w:cs="Calibri"/>
        <w:b/>
        <w:bCs/>
      </w:rPr>
      <w:t xml:space="preserve"> | </w:t>
    </w:r>
    <w:r>
      <w:rPr>
        <w:rFonts w:ascii="Calibri" w:hAnsi="Calibri" w:cs="Calibri"/>
        <w:b/>
        <w:bCs/>
      </w:rPr>
      <w:t>Vila Clementino -</w:t>
    </w:r>
    <w:r w:rsidRPr="009D32C2">
      <w:rPr>
        <w:rFonts w:ascii="Calibri" w:hAnsi="Calibri" w:cs="Calibri"/>
        <w:b/>
        <w:bCs/>
      </w:rPr>
      <w:t xml:space="preserve"> São Paulo | 040</w:t>
    </w:r>
    <w:r>
      <w:rPr>
        <w:rFonts w:ascii="Calibri" w:hAnsi="Calibri" w:cs="Calibri"/>
        <w:b/>
        <w:bCs/>
      </w:rPr>
      <w:t>39</w:t>
    </w:r>
    <w:r w:rsidRPr="009D32C2">
      <w:rPr>
        <w:rFonts w:ascii="Calibri" w:hAnsi="Calibri" w:cs="Calibri"/>
        <w:b/>
        <w:bCs/>
      </w:rPr>
      <w:t>-0</w:t>
    </w:r>
    <w:r>
      <w:rPr>
        <w:rFonts w:ascii="Calibri" w:hAnsi="Calibri" w:cs="Calibri"/>
        <w:b/>
        <w:bCs/>
      </w:rPr>
      <w:t>34</w:t>
    </w:r>
    <w:r w:rsidRPr="009D32C2">
      <w:rPr>
        <w:rFonts w:ascii="Calibri" w:hAnsi="Calibri" w:cs="Calibri"/>
        <w:b/>
        <w:bCs/>
      </w:rPr>
      <w:t xml:space="preserve"> | Tel.: (11)</w:t>
    </w:r>
    <w:r>
      <w:rPr>
        <w:rFonts w:ascii="Calibri" w:hAnsi="Calibri" w:cs="Calibri"/>
        <w:b/>
        <w:bCs/>
      </w:rPr>
      <w:t xml:space="preserve"> </w:t>
    </w:r>
    <w:r w:rsidRPr="009D32C2">
      <w:rPr>
        <w:rFonts w:ascii="Calibri" w:hAnsi="Calibri" w:cs="Calibri"/>
        <w:b/>
        <w:bCs/>
      </w:rPr>
      <w:t>3396-6651</w:t>
    </w:r>
  </w:p>
  <w:p w:rsidR="00732CBD" w:rsidRPr="00732CBD" w:rsidRDefault="00BC5D03" w:rsidP="00732CBD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 xml:space="preserve">: </w:t>
    </w:r>
    <w:r w:rsidR="00CB2A90">
      <w:rPr>
        <w:rFonts w:ascii="Calibri" w:hAnsi="Calibri" w:cs="Calibri"/>
        <w:b/>
        <w:bCs/>
      </w:rPr>
      <w:t>cince@prefeitura.sp.go</w:t>
    </w:r>
    <w:r>
      <w:rPr>
        <w:rFonts w:ascii="Calibri" w:hAnsi="Calibri" w:cs="Calibri"/>
        <w:b/>
        <w:bCs/>
      </w:rPr>
      <w:t>v</w:t>
    </w:r>
    <w:r w:rsidR="00CB2A90">
      <w:rPr>
        <w:rFonts w:ascii="Calibri" w:hAnsi="Calibri" w:cs="Calibri"/>
        <w:b/>
        <w:bCs/>
      </w:rPr>
      <w:t>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07" w:rsidRDefault="005D5507">
      <w:r>
        <w:separator/>
      </w:r>
    </w:p>
  </w:footnote>
  <w:footnote w:type="continuationSeparator" w:id="1">
    <w:p w:rsidR="005D5507" w:rsidRDefault="005D5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7" w:rsidRDefault="009411A6" w:rsidP="00650CA9">
    <w:pPr>
      <w:pStyle w:val="Cabealho"/>
      <w:rPr>
        <w:rFonts w:ascii="Futura Md BT" w:hAnsi="Futura Md BT" w:cs="Futura Md BT"/>
      </w:rPr>
    </w:pPr>
    <w:r w:rsidRPr="009411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9411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Pr="00C8789A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D5507" w:rsidRDefault="005D5507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D5507" w:rsidRPr="00732CBD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D5507" w:rsidRPr="00650CA9" w:rsidRDefault="005D5507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="005A1C92">
      <w:rPr>
        <w:rFonts w:ascii="Futura Md BT" w:hAnsi="Futura Md BT" w:cs="Futura Md BT"/>
        <w:noProof/>
      </w:rPr>
      <w:drawing>
        <wp:inline distT="0" distB="0" distL="0" distR="0">
          <wp:extent cx="2114550" cy="1019175"/>
          <wp:effectExtent l="19050" t="0" r="0" b="0"/>
          <wp:docPr id="1" name="Imagem 2" descr="Logo C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507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9E6"/>
    <w:rsid w:val="00001F23"/>
    <w:rsid w:val="000025A3"/>
    <w:rsid w:val="00003FE0"/>
    <w:rsid w:val="00010EE3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111FB6"/>
    <w:rsid w:val="00113635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4501"/>
    <w:rsid w:val="00154E22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60E0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96982"/>
    <w:rsid w:val="002A09D7"/>
    <w:rsid w:val="002A420D"/>
    <w:rsid w:val="002A7883"/>
    <w:rsid w:val="002B3A55"/>
    <w:rsid w:val="002B4690"/>
    <w:rsid w:val="002C77C8"/>
    <w:rsid w:val="002D068B"/>
    <w:rsid w:val="002D3789"/>
    <w:rsid w:val="002D39FF"/>
    <w:rsid w:val="002D686C"/>
    <w:rsid w:val="002D73BA"/>
    <w:rsid w:val="002E34BE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96F15"/>
    <w:rsid w:val="00397FCF"/>
    <w:rsid w:val="003A0284"/>
    <w:rsid w:val="003A1937"/>
    <w:rsid w:val="003A1A6C"/>
    <w:rsid w:val="003A2134"/>
    <w:rsid w:val="003A422C"/>
    <w:rsid w:val="003A4B15"/>
    <w:rsid w:val="003A598A"/>
    <w:rsid w:val="003B2BF1"/>
    <w:rsid w:val="003B2C95"/>
    <w:rsid w:val="003B3DF9"/>
    <w:rsid w:val="003C378A"/>
    <w:rsid w:val="003D78BB"/>
    <w:rsid w:val="003E3043"/>
    <w:rsid w:val="003E3A6F"/>
    <w:rsid w:val="003E4838"/>
    <w:rsid w:val="003E57DB"/>
    <w:rsid w:val="003F6DAE"/>
    <w:rsid w:val="004030EE"/>
    <w:rsid w:val="004043B4"/>
    <w:rsid w:val="004130F3"/>
    <w:rsid w:val="0041732E"/>
    <w:rsid w:val="0041788D"/>
    <w:rsid w:val="00421EE7"/>
    <w:rsid w:val="00423803"/>
    <w:rsid w:val="0044591E"/>
    <w:rsid w:val="004479CB"/>
    <w:rsid w:val="00452AB0"/>
    <w:rsid w:val="00453419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E39"/>
    <w:rsid w:val="004C1F00"/>
    <w:rsid w:val="004C3DF1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071B5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5524B"/>
    <w:rsid w:val="00557738"/>
    <w:rsid w:val="005606A0"/>
    <w:rsid w:val="00561104"/>
    <w:rsid w:val="00562D69"/>
    <w:rsid w:val="005657F8"/>
    <w:rsid w:val="00576B03"/>
    <w:rsid w:val="00582001"/>
    <w:rsid w:val="00582FB3"/>
    <w:rsid w:val="00584A41"/>
    <w:rsid w:val="005850B9"/>
    <w:rsid w:val="00590D8E"/>
    <w:rsid w:val="00591DDF"/>
    <w:rsid w:val="00595823"/>
    <w:rsid w:val="005A1C92"/>
    <w:rsid w:val="005A7918"/>
    <w:rsid w:val="005B20A5"/>
    <w:rsid w:val="005C200F"/>
    <w:rsid w:val="005C3407"/>
    <w:rsid w:val="005C7C24"/>
    <w:rsid w:val="005D0F26"/>
    <w:rsid w:val="005D3D8C"/>
    <w:rsid w:val="005D507C"/>
    <w:rsid w:val="005D5507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4578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D7DB3"/>
    <w:rsid w:val="006D7FFA"/>
    <w:rsid w:val="006E3D65"/>
    <w:rsid w:val="006E4861"/>
    <w:rsid w:val="006E7164"/>
    <w:rsid w:val="006F3537"/>
    <w:rsid w:val="006F6500"/>
    <w:rsid w:val="00725D27"/>
    <w:rsid w:val="00726E13"/>
    <w:rsid w:val="00732CBD"/>
    <w:rsid w:val="00733438"/>
    <w:rsid w:val="0073366B"/>
    <w:rsid w:val="00741928"/>
    <w:rsid w:val="00742C6D"/>
    <w:rsid w:val="00751B90"/>
    <w:rsid w:val="0075250D"/>
    <w:rsid w:val="00752863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3CBB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0BF4"/>
    <w:rsid w:val="00892102"/>
    <w:rsid w:val="008A0905"/>
    <w:rsid w:val="008A2FF0"/>
    <w:rsid w:val="008A655C"/>
    <w:rsid w:val="008B076B"/>
    <w:rsid w:val="008B646F"/>
    <w:rsid w:val="008B73A5"/>
    <w:rsid w:val="008C49C6"/>
    <w:rsid w:val="008C7493"/>
    <w:rsid w:val="008C7F29"/>
    <w:rsid w:val="008D2363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010C"/>
    <w:rsid w:val="00922112"/>
    <w:rsid w:val="00923D66"/>
    <w:rsid w:val="00930966"/>
    <w:rsid w:val="009411A6"/>
    <w:rsid w:val="009453DD"/>
    <w:rsid w:val="0094592C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17B69"/>
    <w:rsid w:val="00A22819"/>
    <w:rsid w:val="00A22E7E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710FB"/>
    <w:rsid w:val="00A85170"/>
    <w:rsid w:val="00A86651"/>
    <w:rsid w:val="00A9298C"/>
    <w:rsid w:val="00AB2B4C"/>
    <w:rsid w:val="00AB4ED3"/>
    <w:rsid w:val="00AB5B20"/>
    <w:rsid w:val="00AC61D5"/>
    <w:rsid w:val="00AD3EE0"/>
    <w:rsid w:val="00AE1059"/>
    <w:rsid w:val="00AE374D"/>
    <w:rsid w:val="00AE48E5"/>
    <w:rsid w:val="00AF0F7C"/>
    <w:rsid w:val="00B00CA6"/>
    <w:rsid w:val="00B071BF"/>
    <w:rsid w:val="00B12565"/>
    <w:rsid w:val="00B16CB5"/>
    <w:rsid w:val="00B205BC"/>
    <w:rsid w:val="00B51C3E"/>
    <w:rsid w:val="00B551B8"/>
    <w:rsid w:val="00B56212"/>
    <w:rsid w:val="00B5750E"/>
    <w:rsid w:val="00B60016"/>
    <w:rsid w:val="00B67B05"/>
    <w:rsid w:val="00B72C85"/>
    <w:rsid w:val="00B741BE"/>
    <w:rsid w:val="00B7485D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B6A85"/>
    <w:rsid w:val="00BC1803"/>
    <w:rsid w:val="00BC5D03"/>
    <w:rsid w:val="00BD1E6A"/>
    <w:rsid w:val="00BD542C"/>
    <w:rsid w:val="00BD5ACC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A90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06D2A"/>
    <w:rsid w:val="00D11B20"/>
    <w:rsid w:val="00D11D26"/>
    <w:rsid w:val="00D1713E"/>
    <w:rsid w:val="00D17297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2074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5FAC"/>
    <w:rsid w:val="00E36D78"/>
    <w:rsid w:val="00E50417"/>
    <w:rsid w:val="00E50B8E"/>
    <w:rsid w:val="00E63375"/>
    <w:rsid w:val="00E65F59"/>
    <w:rsid w:val="00E72134"/>
    <w:rsid w:val="00E74D50"/>
    <w:rsid w:val="00E74F70"/>
    <w:rsid w:val="00E754CC"/>
    <w:rsid w:val="00E81BA9"/>
    <w:rsid w:val="00E86ECC"/>
    <w:rsid w:val="00E91F42"/>
    <w:rsid w:val="00E95DBD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F03A3E"/>
    <w:rsid w:val="00F107C0"/>
    <w:rsid w:val="00F201F5"/>
    <w:rsid w:val="00F25D15"/>
    <w:rsid w:val="00F306CF"/>
    <w:rsid w:val="00F327B0"/>
    <w:rsid w:val="00F3549D"/>
    <w:rsid w:val="00F375AE"/>
    <w:rsid w:val="00F55D8C"/>
    <w:rsid w:val="00F601CC"/>
    <w:rsid w:val="00F61343"/>
    <w:rsid w:val="00F71268"/>
    <w:rsid w:val="00F73CF7"/>
    <w:rsid w:val="00F7547E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5450</Words>
  <Characters>29375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34756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d315261</dc:creator>
  <cp:lastModifiedBy>Edmundo Aoyama</cp:lastModifiedBy>
  <cp:revision>2</cp:revision>
  <cp:lastPrinted>2015-05-14T19:31:00Z</cp:lastPrinted>
  <dcterms:created xsi:type="dcterms:W3CDTF">2015-11-18T20:09:00Z</dcterms:created>
  <dcterms:modified xsi:type="dcterms:W3CDTF">2015-11-18T20:09:00Z</dcterms:modified>
</cp:coreProperties>
</file>