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DECRETO Nº 54.832, DE 12 DE FEVEREIRO DE 2014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Regulamenta a Lei nº 15.928, de 19 de dezembro de 2013, que dispõe sobre a concessão de incentivos fiscais para o fomento ao esporte no Município de São Paulo.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FERNANDO HADDAD, Prefeito do Município de São Paulo, no uso das atribuições que lhe são conferidas por lei,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D E C R E T A: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1º A Lei nº 15.928, de 19 de dezembro de 2013, que dispõe sobre a concessão de incentivos fiscais a pessoa física ou jurídica domiciliada no Município de São Paulo para a realização de projetos de fomento ao esporte fica regulamentada na conformidade das disposições deste decreto.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2º Para os efeitos deste decreto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, considera-se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projeto de fomento ao esporte a iniciativa a ser realizada no âmbito do território do Município de São Paulo que atenda a todas as determinações da lei, deste decreto e, quando for o caso, do edital que regular sua apresentação, bem como que esteja em conformidade com a respectiva política de esportes, especialmente no que se refere a: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ampliar e democratizar o acesso à prática esportiva, individual ou coletiva, na Cidade de São Paulo;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- estimular e promover a revelação de atletas locais;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proteger a memória das expressões esportivas da Cidade de São Paulo;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estimular a requalificação urbanística por meio da recuperação ou instalação de equipamentos para a prática esportiva;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incentivar a adoção de clubes desportivos da comunidade.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3º A aprovação de incentivo a projeto de fomento ao esporte dependerá do atendimento ao disposto no artigo 2º deste decreto, da compatibilidade entre o projeto e o orçamento apresentado e da disponibilidade de recursos financeiros e orçamentários.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4º O projeto de adoção de Clube da Comunidade - CDC, nos termos do disposto no artigo 8°, inciso II, alínea “a”, da Lei nº 15.928, de 2013, deverá prever se haverá a gestão do equipamento e, nessa hipótese, se será realizada de forma conjunta com a direção do clube, de acordo com o artigo 25 do Decreto n° 46.425,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de outubro de 2005, ou assumida integralmente pelo empreendedor.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1º Para os fins do disposto no “caput” deste artigo, o proponente deverá apresentar juntamente com o requerimento de apresentação do projeto, a manifestação formal do representante legal do CDC com sua concordância ou discordância em participar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2º Caso o projeto aprovado preveja assunção integral do CDC, a Secretaria Municipal de Esportes, Lazer e Recreação deverá notificar previamente o representante legal da entidade de que, no prazo de 60 (sessenta) dias, a gestão em exercício será interrompida.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§ 3º Na hipótese prevista no § 2º deste artigo, com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90 (noventa) dias de antecedência ao prazo final do projeto de adoção, a Secretaria Municipal de Esportes, Lazer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e Recreação deverá convocar novas eleições para a diretoria gestora e o conselho fiscal do CDC, nos termos da legislação própria.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5º Aos membros da Comissão de Avaliação de Projetos Esportivos – CAPE, criada nos termos do artigo 17 da Lei nº 15.928, de 2013, cujo mandato será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(dois) anos, podendo ser reconduzidos, não será permitida a apresentação de projetos durante o referido período, vedação essa estendida à pessoa jurídica da qual faça parte, a teor do parágrafo único do artigo 18 da mencionada lei.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6º Será substituído definitivamente por seu suplente o membro da CAPE que solicitar afastamento definitivo ou se omitir, injustificadamente, em apresentar parecer com relação a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(três) projetos que lhe tenham sido distribuídos ou, ainda, deixar de comparecer, injustificadamente, a 3 (três) reuniões consecutivas ou 5 (cinco) interpoladas.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Parágrafo único. Na hipótese prevista no “caput” deste artigo, o suplente assumirá nas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mesmas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condições do titular.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7º O funcionamento da CAPE será disciplinado no regimento interno a ser elaborado pelo próprio colegiado, do qual constarão: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o cronograma de reuniões e a forma de convocação;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- as normas para recebimento, análise, avaliação e averiguação dos orçamentos dos projetos que não estejam previstas em lei ou neste regulamento;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o modelo de aprovação das atas de reuniões, contendo, necessariamente, o registro dos votos de seus membros.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8º O servidor lotado na Coordenadoria de Incentivos - CINCE, da Secretaria Municipal de Esportes, Lazer e Recreação, criada nos termos do artigo 19 da Lei nº 15.928, de 2013, designado para secretariar as reuniões da CAPE, de acordo com o disposto no inciso II de seu artigo 30, terá, ainda, as seguintes atribuições: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atender e orientar o público sobre o incentivo fiscal de que trata a Lei nº 15.928, de 2013, e este decreto e a forma de solicitar seus benefícios;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II - orientar os empreendedores e </w:t>
      </w:r>
      <w:proofErr w:type="spellStart"/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proponentes-beneficiários</w:t>
      </w:r>
      <w:proofErr w:type="spellEnd"/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sobre a forma de apresentar os projetos e prestar as respectivas contas;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receber, protocolar e verificar a regularidade do projeto quanto aos aspectos formais e documentais exigidos;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encaminhar os projetos para a análise do setor competente;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acompanhar e controlar a entrega das prestações de contas dos projetos;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VI - receber e autenticar os documentos das prestações de contas;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VII – alimentar o banco de dados dos projetos, entidades e instituições, patrocinadores, doadores, empreendedores e </w:t>
      </w:r>
      <w:proofErr w:type="spellStart"/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proponentes-beneficiários</w:t>
      </w:r>
      <w:proofErr w:type="spellEnd"/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>, com acesso ao público;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VIII - fiscalizar o atendimento das condições necessárias ao cumprimento da legislação que rege a matéria;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IX - entregar os certificados de incentivo;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X - certificar que o patrocinador repassou valores ao projeto, quando solicitado e conforme autorizado;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XI - orientar empreendedores e patrocinadores sobre os procedimentos para utilização dos certificados de incentivo;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XII - prestar suporte administrativo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à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CAPE, inclusive providenciando autuações, publicações, notificações e adotando os demais procedimentos administrativos necessários;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XIII - divulgar a relação dos patrocinadores e doadores e dos projetos aprovados, juntamente com os respectivos valores.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9º A Secretaria Municipal de Esportes, Lazer e Recreação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publicará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>, no Diário Oficial da Cidade, edital de inscrição dos projetos esportivos de que tratam os artigos 8º a 12 da Lei nº 15.928, de 2013, objetivando a concessão do incentivo fiscal, o qual, dentre outros requisitos, deverá prever: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– o período e local das inscrições;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– os documentos e informações a serem fornecidos por empreendedores e patrocinadores para a aprovação dos incentivos;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a vedação de alteração do objeto ou de sua essência após a aprovação;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o modelo de apresentação do projeto, contendo: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a) dados necessários à análise;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b) planilha de orçamento;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outros procedimentos indispensáveis à correta operacionalização das disposições constantes da Lei nº 15.928, de 2013, e deste decreto.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10. No caso dos projetos esportivos de que tratam os artigos 8º a 12 da Lei nº 15.928, de 2013, o incentivo requerido poderá ser concedido de forma parcial, não sendo obrigatório corresponder à totalidade do valor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Art. 11. O contrato de patrocínio entre proponente ou empreendedor e patrocinador deverá ser formalizado antes de firmado o ajuste de que trata o artigo 20 da Lei nº 15.928, de 2013.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Parágrafo único. Quando o patrocínio estabelecer a hipótese de repasse dos valores em parcelas, o cronograma deverá prever que a última delas seja efetivada em, no máximo, 30 (trinta) dias antes da data do término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12. Os certificados de incentivo serão emitidos após a aprovação do projeto ou assinatura do ajuste correspondente, conforme a natureza do projeto, com validade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(um) ano, contado da data de sua emissão e conterão: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a identificação do projeto e de seu empreendedor ou proponente-beneficiário;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- o valor do incentivo autorizado;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a data de expedição e seu prazo de validade;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o nome e o número do Cadastro Nacional da Pessoa Jurídica - CNPJ ou do Cadastro de Pessoas Físicas - CPF do patrocinador ou do proponente-beneficiário;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o número da inscrição do patrocinador ou do proponente-beneficiário no Cadastro de Contribuintes Mobiliários - CCM ou do respectivo IPTU.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1º O valor de face do certificado de incentivo será expresso em reais.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2º Todos os certificados de incentivo serão objeto de registro, para fins de controle, pela CINCE.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3º A entrega do certificado de incentivo será feita pela CINCE, condicionada à comprovação do repasse dos valores pelo patrocinador ao empreendedor, mediante recibo do depósito bancário correspondente, nas hipóteses constantes dos artigos 8º a 12 da Lei nº 15.928, de 2013, devendo também atestar o repasse no corpo do certificado de incentivo.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4º Se os valores forem repassados em parcelas, cada uma delas fará jus à emissão de um certificado de incentivo, emitido na data prevista para o repasse.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13. Para fins de prestação de contas, todos os valores em pecúnia recebidos como patrocínio decorrente do incentivo autorizado serão depositados em conta-corrente bancária mantida exclusivamente para esse fim, em nome exclusivo do empreendedor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14.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A Secretaria Municipal de Esportes, Lazer e Recreação editará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portaria estabelecendo normas para a apresentação e aprovação da prestação de contas, inclusive sob o aspecto da realização do produto.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1º Até a expedição da portaria mencionada no "caput" deste artigo, ficam mantidos os procedimentos previstos na portaria em vigor que cuida da matéria.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§ 2º A CINCE manifestar-se-á sobre a realização do produto do projeto no prazo de até 60 (sessenta) dias contados do recebimento da prestação de contas, sendo que a solicitação de informações ou documentos adicionais suspende esse prazo até seu atendimento pelo empreendedor.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3º Após a manifestação sobre a realização do produto, nos termos do artigo 19, inciso II, da Lei nº 15.928, de 2013, a prestação de contas será encaminhada para análise contábil.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4º A prestação de contas utilizará procedimentos contábeis correntes, observados os critérios previstos em portaria.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5º Os valores transferidos pelo patrocinador deverão ser totalmente aplicados no projeto para o qual foi aprovado o incentivo.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6º Eventuais rendimentos obtidos em razão da aplicação dos valores incentivados no mercado financeiro sem autorização prévia da Secretaria Municipal de Esportes, Lazer e Recreação deverão ser recolhidos ao Fundo Municipal de Esportes, Lazer e Recreação.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7º Os valores recebidos e não utilizados dentro do prazo de realização do projeto aprovado, bem como eventuais rendimentos financeiros não aplicados no projeto deverão ser recolhidos ao Fundo Municipal de Esportes, Lazer e Recreação.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15. As Secretarias Municipais de Finanças e Desenvolvimento Econômico, de Esportes, Lazer e Recreação, dos Negócios Jurídicos, do Governo Municipal e de Planejamento, Orçamento e Gestão estabelecerão, por meio de portaria </w:t>
      </w:r>
      <w:proofErr w:type="spellStart"/>
      <w:r w:rsidRPr="00225737">
        <w:rPr>
          <w:rFonts w:asciiTheme="minorHAnsi" w:hAnsiTheme="minorHAnsi" w:cs="Arial"/>
          <w:color w:val="000000"/>
          <w:sz w:val="22"/>
          <w:szCs w:val="22"/>
        </w:rPr>
        <w:t>intersecretarial</w:t>
      </w:r>
      <w:proofErr w:type="spellEnd"/>
      <w:r w:rsidRPr="00225737">
        <w:rPr>
          <w:rFonts w:asciiTheme="minorHAnsi" w:hAnsiTheme="minorHAnsi" w:cs="Arial"/>
          <w:color w:val="000000"/>
          <w:sz w:val="22"/>
          <w:szCs w:val="22"/>
        </w:rPr>
        <w:t>, os procedimentos necessários para emissão, controle, fluxo e utilização dos certificados de incentivo.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16. Fica vedado paralelismo ou duplicidade no apoio aos mesmos itens dos projetos esportivos incentivados, devendo o empreendedor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informar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se o projeto está recebendo apoio financeiro incentivado do Poder Público, inclusive de outros entes políticos, sendo que, nesses casos, deverá elaborar um demonstrativo dos valores recebidos das diversas fontes.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Parágrafo único. Não se considera duplicidade ou paralelismo a agregação de valores nos diferentes níveis do Poder Público para cobertura financeira do projeto se o somatório das importâncias captadas nas várias esferas não ultrapassar seu valor total.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17.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A Secretaria Municipal de Esportes, Lazer e Recreação editará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o Manual de Divulgação da Lei Municipal de Incentivo ao Esporte, que cuidará detalhadamente da forma de divulgação do benefício fiscal aos projetos esportivos e do qual deverão constar as seguintes regras mínimas: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– em peças de transmissões radiofônicas publicitárias, será obrigatória a locução “Lei de Incentivo ao Esporte – Prefeitura de São Paulo”;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– em filmes publicitários (para televisão, cinema e internet), será obrigatória: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a) a locução “Lei de Incentivo ao Esporte – Prefeitura de São Paulo”;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b) a exibição do brasão do Município de São Paulo na forma da logomarca da Secretaria Municipal de Esportes, Lazer e Recreação sob a inscrição “Lei de Incentivo ao Esporte”;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– em espaços publicitários ou de propaganda em portais de internet, painéis e congêneres, incluindo mídia indoor, será obrigatória a exibição do brasão do Município de São Paulo na forma da logomarca da Secretaria Municipal de Esportes, Lazer e Recreação sob a inscrição “Lei de Incentivo ao Esporte”;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– nos projetos de incentivo a obras (recuperação de imóvel, implantação de área pública esportiva) ou de formação, recuperação ou catalogação de acervo, será obrigatória a fixação de placa em material perene (bronze, mármore, dentre outros) com a exibição do brasão do Município de São Paulo na forma da logomarca da Secretaria Municipal de Esportes, Lazer e Recreação sob a inscrição “Lei de Incentivo ao Esporte”, nas mesmas proporções e com a mesma visibilidade dos demais patrocinadores, se houver, em dimensões a serem definidas de acordo com cada projeto e suas peculiaridades;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– nas peças publicitárias de materiais impressos (em veículos de comunicação ou não), será obrigatória a exibição do brasão do Município na forma da logomarca da Secretaria Municipal de Esportes, Lazer e Recreação sob a inscrição “Lei de Incentivo ao Esporte”, nas mesmas proporções e alinhada com as dos demais patrocinadores;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VI – em mensagens telefônicas de áudio ou texto, será obrigatória, conforme a hipótese: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a) a locução “Lei de Incentivo ao Esporte – Prefeitura de São Paulo”;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b) a mensagem em texto “Lei de Incentivo ao Esporte – Prefeitura de São Paulo”.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18. As disposições previstas neste decreto, relativas à concessão de incentivos fiscais para o fomento ao esporte, deverão ser revistas no prazo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(dois) anos contados da data de sua vigência.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19. Este decreto entrará em vigor na data de sua publicação.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PREFEITURA DO MUNICÍPIO DE SÃO PAULO, aos 12 de fevereiro de 2014, 461º da fundação de São Paulo.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FERNANDO HADDAD, PREFEITO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CELSO DO CARMO JATENE, Secretário Municipal de Esportes, Lazer e Recreação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MARCOS DE BARROS CRUZ, Secretário Municipal de Finanças e Desenvolvimento Econômico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LEDA MARIA PAULANI, Secretária Municipal de Planejamento, Orçamento e Gestão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FRANCISCO MACENA DA SILVA, Secretário do Governo Municipal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Publicado na Secretaria do Governo Municipal, em 12 de fevereiro de 2014.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DECRETO Nº 54.832, DE 12 DE FEVEREIRO DE 2014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Regulamenta a Lei nº 15.928, de 19 de dezembro de 2013, que dispõe sobre a concessão de incentivos fiscais para o fomento ao esporte no Município de São Paulo.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FERNANDO HADDAD, Prefeito do Município de São Paulo, no uso das atribuições que lhe são conferidas por lei,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D E C R E T A: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1º A Lei nº 15.928, de 19 de dezembro de 2013, que dispõe sobre a concessão de incentivos fiscais a pessoa física ou jurídica domiciliada no Município de São Paulo para a realização de projetos de fomento ao esporte fica regulamentada na conformidade das disposições deste decreto.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2º Para os efeitos deste decreto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, considera-se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projeto de fomento ao esporte a iniciativa a ser realizada no âmbito do território do Município de São Paulo que atenda a todas as determinações da lei, deste decreto e, quando for o caso, do edital que regular sua apresentação, bem como que esteja em conformidade com a respectiva política de esportes, especialmente no que se refere a: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ampliar e democratizar o acesso à prática esportiva, individual ou coletiva, na Cidade de São Paulo;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- estimular e promover a revelação de atletas locais;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proteger a memória das expressões esportivas da Cidade de São Paulo;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estimular a requalificação urbanística por meio da recuperação ou instalação de equipamentos para a prática esportiva;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incentivar a adoção de clubes desportivos da comunidade.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3º A aprovação de incentivo a projeto de fomento ao esporte dependerá do atendimento ao disposto no artigo 2º deste decreto, da compatibilidade entre o projeto e o orçamento apresentado e da disponibilidade de recursos financeiros e orçamentários.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4º O projeto de adoção de Clube da Comunidade - CDC, nos termos do disposto no artigo 8°, inciso II, alínea “a”, da Lei nº 15.928, de 2013, deverá prever se haverá a gestão do equipamento e, nessa hipótese, se será realizada de forma conjunta com a direção do clube, de acordo com o artigo 25 do Decreto n° 46.425,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4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de outubro de 2005, ou assumida integralmente pelo empreendedor.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1º Para os fins do disposto no “caput” deste artigo, o proponente deverá apresentar juntamente com o requerimento de apresentação do projeto, a manifestação formal do representante legal do CDC com sua concordância ou discordância em participar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2º Caso o projeto aprovado preveja assunção integral do CDC, a Secretaria Municipal de Esportes, Lazer e Recreação deverá notificar previamente o representante legal da entidade de que, no prazo de 60 (sessenta) dias, a gestão em exercício será interrompida.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§ 3º Na hipótese prevista no § 2º deste artigo, com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90 (noventa) dias de antecedência ao prazo final do projeto de adoção, a Secretaria Municipal de Esportes, Lazer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e Recreação deverá convocar novas eleições para a diretoria gestora e o conselho fiscal do CDC, nos termos da legislação própria.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5º Aos membros da Comissão de Avaliação de Projetos Esportivos – CAPE, criada nos termos do artigo 17 da Lei nº 15.928, de 2013, cujo mandato será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(dois) anos, podendo ser reconduzidos, não será permitida a apresentação de projetos durante o referido período, vedação essa estendida à pessoa jurídica da qual faça parte, a teor do parágrafo único do artigo 18 da mencionada lei.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6º Será substituído definitivamente por seu suplente o membro da CAPE que solicitar afastamento definitivo ou se omitir, injustificadamente, em apresentar parecer com relação a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3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(três) projetos que lhe tenham sido distribuídos ou, ainda, deixar de comparecer, injustificadamente, a 3 (três) reuniões consecutivas ou 5 (cinco) interpoladas.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Parágrafo único. Na hipótese prevista no “caput” deste artigo, o suplente assumirá nas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mesmas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condições do titular.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7º O funcionamento da CAPE será disciplinado no regimento interno a ser elaborado pelo próprio colegiado, do qual constarão: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o cronograma de reuniões e a forma de convocação;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- as normas para recebimento, análise, avaliação e averiguação dos orçamentos dos projetos que não estejam previstas em lei ou neste regulamento;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o modelo de aprovação das atas de reuniões, contendo, necessariamente, o registro dos votos de seus membros.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8º O servidor lotado na Coordenadoria de Incentivos - CINCE, da Secretaria Municipal de Esportes, Lazer e Recreação, criada nos termos do artigo 19 da Lei nº 15.928, de 2013, designado para secretariar as reuniões da CAPE, de acordo com o disposto no inciso II de seu artigo 30, terá, ainda, as seguintes atribuições: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atender e orientar o público sobre o incentivo fiscal de que trata a Lei nº 15.928, de 2013, e este decreto e a forma de solicitar seus benefícios;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II - orientar os empreendedores e </w:t>
      </w:r>
      <w:proofErr w:type="spellStart"/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proponentes-beneficiários</w:t>
      </w:r>
      <w:proofErr w:type="spellEnd"/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sobre a forma de apresentar os projetos e prestar as respectivas contas;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receber, protocolar e verificar a regularidade do projeto quanto aos aspectos formais e documentais exigidos;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encaminhar os projetos para a análise do setor competente;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acompanhar e controlar a entrega das prestações de contas dos projetos;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VI - receber e autenticar os documentos das prestações de contas;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VII – alimentar o banco de dados dos projetos, entidades e instituições, patrocinadores, doadores, empreendedores e </w:t>
      </w:r>
      <w:proofErr w:type="spellStart"/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proponentes-beneficiários</w:t>
      </w:r>
      <w:proofErr w:type="spellEnd"/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>, com acesso ao público;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VIII - fiscalizar o atendimento das condições necessárias ao cumprimento da legislação que rege a matéria;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IX - entregar os certificados de incentivo;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X - certificar que o patrocinador repassou valores ao projeto, quando solicitado e conforme autorizado;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XI - orientar empreendedores e patrocinadores sobre os procedimentos para utilização dos certificados de incentivo;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XII - prestar suporte administrativo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à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CAPE, inclusive providenciando autuações, publicações, notificações e adotando os demais procedimentos administrativos necessários;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XIII - divulgar a relação dos patrocinadores e doadores e dos projetos aprovados, juntamente com os respectivos valores.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9º A Secretaria Municipal de Esportes, Lazer e Recreação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publicará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>, no Diário Oficial da Cidade, edital de inscrição dos projetos esportivos de que tratam os artigos 8º a 12 da Lei nº 15.928, de 2013, objetivando a concessão do incentivo fiscal, o qual, dentre outros requisitos, deverá prever: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– o período e local das inscrições;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– os documentos e informações a serem fornecidos por empreendedores e patrocinadores para a aprovação dos incentivos;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a vedação de alteração do objeto ou de sua essência após a aprovação;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o modelo de apresentação do projeto, contendo: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a) dados necessários à análise;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b) planilha de orçamento;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outros procedimentos indispensáveis à correta operacionalização das disposições constantes da Lei nº 15.928, de 2013, e deste decreto.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10. No caso dos projetos esportivos de que tratam os artigos 8º a 12 da Lei nº 15.928, de 2013, o incentivo requerido poderá ser concedido de forma parcial, não sendo obrigatório corresponder à totalidade do valor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Art. 11. O contrato de patrocínio entre proponente ou empreendedor e patrocinador deverá ser formalizado antes de firmado o ajuste de que trata o artigo 20 da Lei nº 15.928, de 2013.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Parágrafo único. Quando o patrocínio estabelecer a hipótese de repasse dos valores em parcelas, o cronograma deverá prever que a última delas seja efetivada em, no máximo, 30 (trinta) dias antes da data do término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12. Os certificados de incentivo serão emitidos após a aprovação do projeto ou assinatura do ajuste correspondente, conforme a natureza do projeto, com validade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1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(um) ano, contado da data de sua emissão e conterão: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- a identificação do projeto e de seu empreendedor ou proponente-beneficiário;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- o valor do incentivo autorizado;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- a data de expedição e seu prazo de validade;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- o nome e o número do Cadastro Nacional da Pessoa Jurídica - CNPJ ou do Cadastro de Pessoas Físicas - CPF do patrocinador ou do proponente-beneficiário;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- o número da inscrição do patrocinador ou do proponente-beneficiário no Cadastro de Contribuintes Mobiliários - CCM ou do respectivo IPTU.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1º O valor de face do certificado de incentivo será expresso em reais.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2º Todos os certificados de incentivo serão objeto de registro, para fins de controle, pela CINCE.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3º A entrega do certificado de incentivo será feita pela CINCE, condicionada à comprovação do repasse dos valores pelo patrocinador ao empreendedor, mediante recibo do depósito bancário correspondente, nas hipóteses constantes dos artigos 8º a 12 da Lei nº 15.928, de 2013, devendo também atestar o repasse no corpo do certificado de incentivo.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4º Se os valores forem repassados em parcelas, cada uma delas fará jus à emissão de um certificado de incentivo, emitido na data prevista para o repasse.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13. Para fins de prestação de contas, todos os valores em pecúnia recebidos como patrocínio decorrente do incentivo autorizado serão depositados em conta-corrente bancária mantida exclusivamente para esse fim, em nome exclusivo do empreendedor do projeto.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14.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A Secretaria Municipal de Esportes, Lazer e Recreação editará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portaria estabelecendo normas para a apresentação e aprovação da prestação de contas, inclusive sob o aspecto da realização do produto.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1º Até a expedição da portaria mencionada no "caput" deste artigo, ficam mantidos os procedimentos previstos na portaria em vigor que cuida da matéria.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§ 2º A CINCE manifestar-se-á sobre a realização do produto do projeto no prazo de até 60 (sessenta) dias contados do recebimento da prestação de contas, sendo que a solicitação de informações ou documentos adicionais suspende esse prazo até seu atendimento pelo empreendedor.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3º Após a manifestação sobre a realização do produto, nos termos do artigo 19, inciso II, da Lei nº 15.928, de 2013, a prestação de contas será encaminhada para análise contábil.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4º A prestação de contas utilizará procedimentos contábeis correntes, observados os critérios previstos em portaria.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5º Os valores transferidos pelo patrocinador deverão ser totalmente aplicados no projeto para o qual foi aprovado o incentivo.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6º Eventuais rendimentos obtidos em razão da aplicação dos valores incentivados no mercado financeiro sem autorização prévia da Secretaria Municipal de Esportes, Lazer e Recreação deverão ser recolhidos ao Fundo Municipal de Esportes, Lazer e Recreação.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§ 7º Os valores recebidos e não utilizados dentro do prazo de realização do projeto aprovado, bem como eventuais rendimentos financeiros não aplicados no projeto deverão ser recolhidos ao Fundo Municipal de Esportes, Lazer e Recreação.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15. As Secretarias Municipais de Finanças e Desenvolvimento Econômico, de Esportes, Lazer e Recreação, dos Negócios Jurídicos, do Governo Municipal e de Planejamento, Orçamento e Gestão estabelecerão, por meio de portaria </w:t>
      </w:r>
      <w:proofErr w:type="spellStart"/>
      <w:r w:rsidRPr="00225737">
        <w:rPr>
          <w:rFonts w:asciiTheme="minorHAnsi" w:hAnsiTheme="minorHAnsi" w:cs="Arial"/>
          <w:color w:val="000000"/>
          <w:sz w:val="22"/>
          <w:szCs w:val="22"/>
        </w:rPr>
        <w:t>intersecretarial</w:t>
      </w:r>
      <w:proofErr w:type="spellEnd"/>
      <w:r w:rsidRPr="00225737">
        <w:rPr>
          <w:rFonts w:asciiTheme="minorHAnsi" w:hAnsiTheme="minorHAnsi" w:cs="Arial"/>
          <w:color w:val="000000"/>
          <w:sz w:val="22"/>
          <w:szCs w:val="22"/>
        </w:rPr>
        <w:t>, os procedimentos necessários para emissão, controle, fluxo e utilização dos certificados de incentivo.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16. Fica vedado paralelismo ou duplicidade no apoio aos mesmos itens dos projetos esportivos incentivados, devendo o empreendedor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informar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se o projeto está recebendo apoio financeiro incentivado do Poder Público, inclusive de outros entes políticos, sendo que, nesses casos, deverá elaborar um demonstrativo dos valores recebidos das diversas fontes.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Parágrafo único. Não se considera duplicidade ou paralelismo a agregação de valores nos diferentes níveis do Poder Público para cobertura financeira do projeto se o somatório das importâncias captadas nas várias esferas não ultrapassar seu valor total.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17.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A Secretaria Municipal de Esportes, Lazer e Recreação editará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o Manual de Divulgação da Lei Municipal de Incentivo ao Esporte, que cuidará detalhadamente da forma de divulgação do benefício fiscal aos projetos esportivos e do qual deverão constar as seguintes regras mínimas: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 – em peças de transmissões radiofônicas publicitárias, será obrigatória a locução “Lei de Incentivo ao Esporte – Prefeitura de São Paulo”;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 – em filmes publicitários (para televisão, cinema e internet), será obrigatória: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a) a locução “Lei de Incentivo ao Esporte – Prefeitura de São Paulo”;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lastRenderedPageBreak/>
        <w:t>b) a exibição do brasão do Município de São Paulo na forma da logomarca da Secretaria Municipal de Esportes, Lazer e Recreação sob a inscrição “Lei de Incentivo ao Esporte”;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III – em espaços publicitários ou de propaganda em portais de internet, painéis e congêneres, incluindo mídia indoor, será obrigatória a exibição do brasão do Município de São Paulo na forma da logomarca da Secretaria Municipal de Esportes, Lazer e Recreação sob a inscrição “Lei de Incentivo ao Esporte”;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IV – nos projetos de incentivo a obras (recuperação de imóvel, implantação de área pública esportiva) ou de formação, recuperação ou catalogação de acervo, será obrigatória a fixação de placa em material perene (bronze, mármore, dentre outros) com a exibição do brasão do Município de São Paulo na forma da logomarca da Secretaria Municipal de Esportes, Lazer e Recreação sob a inscrição “Lei de Incentivo ao Esporte”, nas mesmas proporções e com a mesma visibilidade dos demais patrocinadores, se houver, em dimensões a serem definidas de acordo com cada projeto e suas peculiaridades;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 – nas peças publicitárias de materiais impressos (em veículos de comunicação ou não), será obrigatória a exibição do brasão do Município na forma da logomarca da Secretaria Municipal de Esportes, Lazer e Recreação sob a inscrição “Lei de Incentivo ao Esporte”, nas mesmas proporções e alinhada com as dos demais patrocinadores;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VI – em mensagens telefônicas de áudio ou texto, será obrigatória, conforme a hipótese: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a) a locução “Lei de Incentivo ao Esporte – Prefeitura de São Paulo”;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b) a mensagem em texto “Lei de Incentivo ao Esporte – Prefeitura de São Paulo”.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Art. 18. As disposições previstas neste decreto, relativas à concessão de incentivos fiscais para o fomento ao esporte, deverão ser revistas no prazo de </w:t>
      </w:r>
      <w:proofErr w:type="gramStart"/>
      <w:r w:rsidRPr="00225737">
        <w:rPr>
          <w:rFonts w:asciiTheme="minorHAnsi" w:hAnsiTheme="minorHAnsi" w:cs="Arial"/>
          <w:color w:val="000000"/>
          <w:sz w:val="22"/>
          <w:szCs w:val="22"/>
        </w:rPr>
        <w:t>2</w:t>
      </w:r>
      <w:proofErr w:type="gramEnd"/>
      <w:r w:rsidRPr="00225737">
        <w:rPr>
          <w:rFonts w:asciiTheme="minorHAnsi" w:hAnsiTheme="minorHAnsi" w:cs="Arial"/>
          <w:color w:val="000000"/>
          <w:sz w:val="22"/>
          <w:szCs w:val="22"/>
        </w:rPr>
        <w:t xml:space="preserve"> (dois) anos contados da data de sua vigência.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Art. 19. Este decreto entrará em vigor na data de sua publicação.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PREFEITURA DO MUNICÍPIO DE SÃO PAULO, aos 12 de fevereiro de 2014, 461º da fundação de São Paulo.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FERNANDO HADDAD, PREFEITO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CELSO DO CARMO JATENE, Secretário Municipal de Esportes, Lazer e Recreação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MARCOS DE BARROS CRUZ, Secretário Municipal de Finanças e Desenvolvimento Econômico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LEDA MARIA PAULANI, Secretária Municipal de Planejamento, Orçamento e Gestão</w:t>
      </w:r>
    </w:p>
    <w:p w:rsidR="005C7CCE" w:rsidRPr="00225737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FRANCISCO MACENA DA SILVA, Secretário do Governo Municipal</w:t>
      </w:r>
    </w:p>
    <w:p w:rsidR="00813CBB" w:rsidRPr="005C7CCE" w:rsidRDefault="005C7CCE" w:rsidP="005C7CCE">
      <w:pPr>
        <w:pStyle w:val="NormalWeb"/>
        <w:rPr>
          <w:rFonts w:asciiTheme="minorHAnsi" w:hAnsiTheme="minorHAnsi" w:cs="Arial"/>
          <w:color w:val="000000"/>
          <w:sz w:val="22"/>
          <w:szCs w:val="22"/>
        </w:rPr>
      </w:pPr>
      <w:r w:rsidRPr="00225737">
        <w:rPr>
          <w:rFonts w:asciiTheme="minorHAnsi" w:hAnsiTheme="minorHAnsi" w:cs="Arial"/>
          <w:color w:val="000000"/>
          <w:sz w:val="22"/>
          <w:szCs w:val="22"/>
        </w:rPr>
        <w:t>Publicado na Secretaria do Governo Municipal, em 12 de fevereiro de 2014.</w:t>
      </w:r>
    </w:p>
    <w:sectPr w:rsidR="00813CBB" w:rsidRPr="005C7CCE" w:rsidSect="00C87777">
      <w:headerReference w:type="default" r:id="rId7"/>
      <w:footerReference w:type="default" r:id="rId8"/>
      <w:pgSz w:w="11906" w:h="16838"/>
      <w:pgMar w:top="279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507" w:rsidRDefault="005D5507">
      <w:r>
        <w:separator/>
      </w:r>
    </w:p>
  </w:endnote>
  <w:endnote w:type="continuationSeparator" w:id="1">
    <w:p w:rsidR="005D5507" w:rsidRDefault="005D5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Pr="009D32C2" w:rsidRDefault="005D5507" w:rsidP="000B684E">
    <w:pPr>
      <w:pStyle w:val="Rodap"/>
      <w:ind w:right="360"/>
      <w:jc w:val="center"/>
      <w:rPr>
        <w:rFonts w:ascii="Calibri" w:hAnsi="Calibri" w:cs="Calibri"/>
        <w:b/>
        <w:bCs/>
      </w:rPr>
    </w:pPr>
    <w:r w:rsidRPr="009D32C2">
      <w:rPr>
        <w:rFonts w:ascii="Calibri" w:hAnsi="Calibri" w:cs="Calibri"/>
        <w:b/>
        <w:bCs/>
      </w:rPr>
      <w:t>Prefeitura de São Paulo | Secretaria de Esportes, Lazer e Recreação | CINCE</w:t>
    </w:r>
  </w:p>
  <w:p w:rsidR="00BC5D03" w:rsidRDefault="005D5507" w:rsidP="00732CBD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Rua</w:t>
    </w:r>
    <w:r w:rsidRPr="009D32C2">
      <w:rPr>
        <w:rFonts w:ascii="Calibri" w:hAnsi="Calibri" w:cs="Calibri"/>
        <w:b/>
        <w:bCs/>
      </w:rPr>
      <w:t xml:space="preserve"> Pedro de Toledo, 16</w:t>
    </w:r>
    <w:r>
      <w:rPr>
        <w:rFonts w:ascii="Calibri" w:hAnsi="Calibri" w:cs="Calibri"/>
        <w:b/>
        <w:bCs/>
      </w:rPr>
      <w:t>51</w:t>
    </w:r>
    <w:r w:rsidRPr="009D32C2">
      <w:rPr>
        <w:rFonts w:ascii="Calibri" w:hAnsi="Calibri" w:cs="Calibri"/>
        <w:b/>
        <w:bCs/>
      </w:rPr>
      <w:t xml:space="preserve"> | </w:t>
    </w:r>
    <w:r>
      <w:rPr>
        <w:rFonts w:ascii="Calibri" w:hAnsi="Calibri" w:cs="Calibri"/>
        <w:b/>
        <w:bCs/>
      </w:rPr>
      <w:t>Vila Clementino -</w:t>
    </w:r>
    <w:r w:rsidRPr="009D32C2">
      <w:rPr>
        <w:rFonts w:ascii="Calibri" w:hAnsi="Calibri" w:cs="Calibri"/>
        <w:b/>
        <w:bCs/>
      </w:rPr>
      <w:t xml:space="preserve"> São Paulo | 040</w:t>
    </w:r>
    <w:r>
      <w:rPr>
        <w:rFonts w:ascii="Calibri" w:hAnsi="Calibri" w:cs="Calibri"/>
        <w:b/>
        <w:bCs/>
      </w:rPr>
      <w:t>39</w:t>
    </w:r>
    <w:r w:rsidRPr="009D32C2">
      <w:rPr>
        <w:rFonts w:ascii="Calibri" w:hAnsi="Calibri" w:cs="Calibri"/>
        <w:b/>
        <w:bCs/>
      </w:rPr>
      <w:t>-0</w:t>
    </w:r>
    <w:r>
      <w:rPr>
        <w:rFonts w:ascii="Calibri" w:hAnsi="Calibri" w:cs="Calibri"/>
        <w:b/>
        <w:bCs/>
      </w:rPr>
      <w:t>34</w:t>
    </w:r>
    <w:r w:rsidRPr="009D32C2">
      <w:rPr>
        <w:rFonts w:ascii="Calibri" w:hAnsi="Calibri" w:cs="Calibri"/>
        <w:b/>
        <w:bCs/>
      </w:rPr>
      <w:t xml:space="preserve"> | Tel.: (11)</w:t>
    </w:r>
    <w:r>
      <w:rPr>
        <w:rFonts w:ascii="Calibri" w:hAnsi="Calibri" w:cs="Calibri"/>
        <w:b/>
        <w:bCs/>
      </w:rPr>
      <w:t xml:space="preserve"> </w:t>
    </w:r>
    <w:r w:rsidRPr="009D32C2">
      <w:rPr>
        <w:rFonts w:ascii="Calibri" w:hAnsi="Calibri" w:cs="Calibri"/>
        <w:b/>
        <w:bCs/>
      </w:rPr>
      <w:t>3396-6651</w:t>
    </w:r>
  </w:p>
  <w:p w:rsidR="00732CBD" w:rsidRPr="00732CBD" w:rsidRDefault="00BC5D03" w:rsidP="00732CBD">
    <w:pPr>
      <w:jc w:val="center"/>
      <w:rPr>
        <w:rFonts w:ascii="Calibri" w:hAnsi="Calibri" w:cs="Calibri"/>
        <w:b/>
        <w:bCs/>
      </w:rPr>
    </w:pPr>
    <w:proofErr w:type="gramStart"/>
    <w:r>
      <w:rPr>
        <w:rFonts w:ascii="Calibri" w:hAnsi="Calibri" w:cs="Calibri"/>
        <w:b/>
        <w:bCs/>
      </w:rPr>
      <w:t>e-mail</w:t>
    </w:r>
    <w:proofErr w:type="gramEnd"/>
    <w:r>
      <w:rPr>
        <w:rFonts w:ascii="Calibri" w:hAnsi="Calibri" w:cs="Calibri"/>
        <w:b/>
        <w:bCs/>
      </w:rPr>
      <w:t xml:space="preserve">: </w:t>
    </w:r>
    <w:r w:rsidR="00CB2A90">
      <w:rPr>
        <w:rFonts w:ascii="Calibri" w:hAnsi="Calibri" w:cs="Calibri"/>
        <w:b/>
        <w:bCs/>
      </w:rPr>
      <w:t>cince@prefeitura.sp.go</w:t>
    </w:r>
    <w:r>
      <w:rPr>
        <w:rFonts w:ascii="Calibri" w:hAnsi="Calibri" w:cs="Calibri"/>
        <w:b/>
        <w:bCs/>
      </w:rPr>
      <w:t>v</w:t>
    </w:r>
    <w:r w:rsidR="00CB2A90">
      <w:rPr>
        <w:rFonts w:ascii="Calibri" w:hAnsi="Calibri" w:cs="Calibri"/>
        <w:b/>
        <w:bCs/>
      </w:rPr>
      <w:t>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507" w:rsidRDefault="005D5507">
      <w:r>
        <w:separator/>
      </w:r>
    </w:p>
  </w:footnote>
  <w:footnote w:type="continuationSeparator" w:id="1">
    <w:p w:rsidR="005D5507" w:rsidRDefault="005D5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7" w:rsidRDefault="00EE300C" w:rsidP="00650CA9">
    <w:pPr>
      <w:pStyle w:val="Cabealho"/>
      <w:rPr>
        <w:rFonts w:ascii="Futura Md BT" w:hAnsi="Futura Md BT" w:cs="Futura Md BT"/>
      </w:rPr>
    </w:pPr>
    <w:r w:rsidRPr="00EE300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margin-left:190pt;margin-top:23.4pt;width:0;height:71pt;z-index:251658240;visibility:visible;mso-wrap-distance-left:3.17497mm;mso-wrap-distance-right:3.17497mm"/>
      </w:pict>
    </w:r>
    <w:r w:rsidRPr="00EE30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190pt;margin-top:14.4pt;width:333.1pt;height:98.75pt;z-index:251657216;visibility:visible" filled="f" stroked="f">
          <v:textbox>
            <w:txbxContent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</w:p>
              <w:p w:rsidR="005D5507" w:rsidRPr="00C8789A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</w:rPr>
                </w:pPr>
                <w:r w:rsidRPr="00C8789A">
                  <w:rPr>
                    <w:rFonts w:ascii="Tahoma" w:hAnsi="Tahoma" w:cs="Tahoma"/>
                    <w:b/>
                    <w:bCs/>
                  </w:rPr>
                  <w:t>Secretaria de Esportes Lazer e Recreação</w:t>
                </w:r>
              </w:p>
              <w:p w:rsidR="005D5507" w:rsidRDefault="005D5507" w:rsidP="003621AC">
                <w:pPr>
                  <w:spacing w:line="276" w:lineRule="auto"/>
                  <w:rPr>
                    <w:rFonts w:ascii="Tahoma" w:hAnsi="Tahoma" w:cs="Tahoma"/>
                  </w:rPr>
                </w:pPr>
                <w:r>
                  <w:rPr>
                    <w:rFonts w:ascii="Tahoma" w:hAnsi="Tahoma" w:cs="Tahoma"/>
                  </w:rPr>
                  <w:t>Coordenadoria de Incentivos</w:t>
                </w:r>
              </w:p>
              <w:p w:rsidR="005D5507" w:rsidRPr="00732CBD" w:rsidRDefault="005D5507" w:rsidP="00EE30DD">
                <w:pPr>
                  <w:spacing w:line="276" w:lineRule="auto"/>
                  <w:rPr>
                    <w:rFonts w:ascii="Tahoma" w:hAnsi="Tahoma" w:cs="Tahoma"/>
                    <w:b/>
                    <w:bCs/>
                    <w:sz w:val="22"/>
                    <w:szCs w:val="22"/>
                  </w:rPr>
                </w:pPr>
              </w:p>
              <w:p w:rsidR="005D5507" w:rsidRPr="00650CA9" w:rsidRDefault="005D5507" w:rsidP="00EE30DD">
                <w:pPr>
                  <w:spacing w:line="276" w:lineRule="auto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</v:shape>
      </w:pict>
    </w:r>
    <w:r w:rsidR="005A1C92">
      <w:rPr>
        <w:rFonts w:ascii="Futura Md BT" w:hAnsi="Futura Md BT" w:cs="Futura Md BT"/>
        <w:noProof/>
      </w:rPr>
      <w:drawing>
        <wp:inline distT="0" distB="0" distL="0" distR="0">
          <wp:extent cx="2114550" cy="1019175"/>
          <wp:effectExtent l="19050" t="0" r="0" b="0"/>
          <wp:docPr id="1" name="Imagem 2" descr="Logo CI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CIN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D5507">
      <w:rPr>
        <w:rFonts w:ascii="Futura Md BT" w:hAnsi="Futura Md BT" w:cs="Futura Md B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1DA5"/>
    <w:multiLevelType w:val="hybridMultilevel"/>
    <w:tmpl w:val="94C617FE"/>
    <w:lvl w:ilvl="0" w:tplc="0416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1ED2976"/>
    <w:multiLevelType w:val="hybridMultilevel"/>
    <w:tmpl w:val="C078744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22DD20CA"/>
    <w:multiLevelType w:val="hybridMultilevel"/>
    <w:tmpl w:val="56846120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cs="Wingdings" w:hint="default"/>
      </w:rPr>
    </w:lvl>
  </w:abstractNum>
  <w:abstractNum w:abstractNumId="3">
    <w:nsid w:val="36465EF1"/>
    <w:multiLevelType w:val="hybridMultilevel"/>
    <w:tmpl w:val="1D968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026C6C"/>
    <w:multiLevelType w:val="hybridMultilevel"/>
    <w:tmpl w:val="5BEE537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5">
    <w:nsid w:val="3ADB3280"/>
    <w:multiLevelType w:val="hybridMultilevel"/>
    <w:tmpl w:val="14A8C14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73866C7"/>
    <w:multiLevelType w:val="hybridMultilevel"/>
    <w:tmpl w:val="7C0A2402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>
    <w:nsid w:val="55EA4A71"/>
    <w:multiLevelType w:val="hybridMultilevel"/>
    <w:tmpl w:val="3A8A2486"/>
    <w:lvl w:ilvl="0" w:tplc="7728993A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007BBE"/>
    <w:multiLevelType w:val="hybridMultilevel"/>
    <w:tmpl w:val="C55ABECC"/>
    <w:lvl w:ilvl="0" w:tplc="1AF0CA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0267"/>
    <w:multiLevelType w:val="hybridMultilevel"/>
    <w:tmpl w:val="3BCA2AD4"/>
    <w:lvl w:ilvl="0" w:tplc="7F74FA6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2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F19E6"/>
    <w:rsid w:val="00001F23"/>
    <w:rsid w:val="000025A3"/>
    <w:rsid w:val="00003FE0"/>
    <w:rsid w:val="00010EE3"/>
    <w:rsid w:val="000356F4"/>
    <w:rsid w:val="00035FDB"/>
    <w:rsid w:val="00037DE4"/>
    <w:rsid w:val="00043563"/>
    <w:rsid w:val="000460F9"/>
    <w:rsid w:val="00051457"/>
    <w:rsid w:val="0005500C"/>
    <w:rsid w:val="000653B9"/>
    <w:rsid w:val="00067B3A"/>
    <w:rsid w:val="0007085E"/>
    <w:rsid w:val="0007253C"/>
    <w:rsid w:val="00076FB7"/>
    <w:rsid w:val="00080646"/>
    <w:rsid w:val="00082864"/>
    <w:rsid w:val="00093194"/>
    <w:rsid w:val="00097679"/>
    <w:rsid w:val="000A3001"/>
    <w:rsid w:val="000B1743"/>
    <w:rsid w:val="000B684E"/>
    <w:rsid w:val="000C211D"/>
    <w:rsid w:val="000C4094"/>
    <w:rsid w:val="000C48C2"/>
    <w:rsid w:val="000E0E13"/>
    <w:rsid w:val="000E0E24"/>
    <w:rsid w:val="000E4B2A"/>
    <w:rsid w:val="00111FB6"/>
    <w:rsid w:val="00113635"/>
    <w:rsid w:val="00114655"/>
    <w:rsid w:val="00117B9C"/>
    <w:rsid w:val="00120048"/>
    <w:rsid w:val="001200DB"/>
    <w:rsid w:val="00125B1D"/>
    <w:rsid w:val="001275E4"/>
    <w:rsid w:val="00131EAC"/>
    <w:rsid w:val="00142D8E"/>
    <w:rsid w:val="00146B17"/>
    <w:rsid w:val="00154501"/>
    <w:rsid w:val="001568AF"/>
    <w:rsid w:val="00164704"/>
    <w:rsid w:val="0016563D"/>
    <w:rsid w:val="001714C5"/>
    <w:rsid w:val="00172536"/>
    <w:rsid w:val="00185772"/>
    <w:rsid w:val="0018712B"/>
    <w:rsid w:val="00192484"/>
    <w:rsid w:val="001A2FC2"/>
    <w:rsid w:val="001A5B85"/>
    <w:rsid w:val="001B05DF"/>
    <w:rsid w:val="001B370C"/>
    <w:rsid w:val="001B37C2"/>
    <w:rsid w:val="001C1739"/>
    <w:rsid w:val="001C4050"/>
    <w:rsid w:val="001D15BA"/>
    <w:rsid w:val="001D556B"/>
    <w:rsid w:val="001D56CD"/>
    <w:rsid w:val="001D660C"/>
    <w:rsid w:val="001E21C5"/>
    <w:rsid w:val="001E6082"/>
    <w:rsid w:val="001F17BD"/>
    <w:rsid w:val="001F205F"/>
    <w:rsid w:val="00204772"/>
    <w:rsid w:val="00204882"/>
    <w:rsid w:val="00211AB7"/>
    <w:rsid w:val="00215B03"/>
    <w:rsid w:val="002260E0"/>
    <w:rsid w:val="00227F32"/>
    <w:rsid w:val="002327EF"/>
    <w:rsid w:val="00235821"/>
    <w:rsid w:val="002421A5"/>
    <w:rsid w:val="00244525"/>
    <w:rsid w:val="00252C95"/>
    <w:rsid w:val="00260E27"/>
    <w:rsid w:val="00262B64"/>
    <w:rsid w:val="0026702D"/>
    <w:rsid w:val="002678A5"/>
    <w:rsid w:val="002730DD"/>
    <w:rsid w:val="002807A3"/>
    <w:rsid w:val="00296982"/>
    <w:rsid w:val="002A09D7"/>
    <w:rsid w:val="002A420D"/>
    <w:rsid w:val="002A7883"/>
    <w:rsid w:val="002B3A55"/>
    <w:rsid w:val="002B4690"/>
    <w:rsid w:val="002C77C8"/>
    <w:rsid w:val="002D068B"/>
    <w:rsid w:val="002D3789"/>
    <w:rsid w:val="002D39FF"/>
    <w:rsid w:val="002D686C"/>
    <w:rsid w:val="002D73BA"/>
    <w:rsid w:val="002E34BE"/>
    <w:rsid w:val="002E77D2"/>
    <w:rsid w:val="002F271F"/>
    <w:rsid w:val="00303A51"/>
    <w:rsid w:val="00307554"/>
    <w:rsid w:val="00313C71"/>
    <w:rsid w:val="00321307"/>
    <w:rsid w:val="00321580"/>
    <w:rsid w:val="00324D8B"/>
    <w:rsid w:val="00332B18"/>
    <w:rsid w:val="003402D7"/>
    <w:rsid w:val="0034609F"/>
    <w:rsid w:val="00352B67"/>
    <w:rsid w:val="00353ABB"/>
    <w:rsid w:val="00353D7F"/>
    <w:rsid w:val="003543F5"/>
    <w:rsid w:val="003621AC"/>
    <w:rsid w:val="00363919"/>
    <w:rsid w:val="00370EB1"/>
    <w:rsid w:val="0037299A"/>
    <w:rsid w:val="00373DE4"/>
    <w:rsid w:val="00374737"/>
    <w:rsid w:val="0037489B"/>
    <w:rsid w:val="00374FB6"/>
    <w:rsid w:val="00381E11"/>
    <w:rsid w:val="00383CE7"/>
    <w:rsid w:val="00396F15"/>
    <w:rsid w:val="00397FCF"/>
    <w:rsid w:val="003A0284"/>
    <w:rsid w:val="003A1937"/>
    <w:rsid w:val="003A1A6C"/>
    <w:rsid w:val="003A2134"/>
    <w:rsid w:val="003A422C"/>
    <w:rsid w:val="003A4B15"/>
    <w:rsid w:val="003A598A"/>
    <w:rsid w:val="003B2BF1"/>
    <w:rsid w:val="003B2C95"/>
    <w:rsid w:val="003B3DF9"/>
    <w:rsid w:val="003C378A"/>
    <w:rsid w:val="003D78BB"/>
    <w:rsid w:val="003E3043"/>
    <w:rsid w:val="003E3A6F"/>
    <w:rsid w:val="003E4838"/>
    <w:rsid w:val="003E57DB"/>
    <w:rsid w:val="003F6DAE"/>
    <w:rsid w:val="004030EE"/>
    <w:rsid w:val="004043B4"/>
    <w:rsid w:val="004130F3"/>
    <w:rsid w:val="0041732E"/>
    <w:rsid w:val="0041788D"/>
    <w:rsid w:val="00421EE7"/>
    <w:rsid w:val="00423803"/>
    <w:rsid w:val="0044591E"/>
    <w:rsid w:val="004479CB"/>
    <w:rsid w:val="00452AB0"/>
    <w:rsid w:val="00453419"/>
    <w:rsid w:val="004744A7"/>
    <w:rsid w:val="00481917"/>
    <w:rsid w:val="004871BC"/>
    <w:rsid w:val="0048783A"/>
    <w:rsid w:val="00495275"/>
    <w:rsid w:val="004974C3"/>
    <w:rsid w:val="004A42FD"/>
    <w:rsid w:val="004A52A5"/>
    <w:rsid w:val="004A5F29"/>
    <w:rsid w:val="004C1E39"/>
    <w:rsid w:val="004C1F00"/>
    <w:rsid w:val="004C3DF1"/>
    <w:rsid w:val="004C6ABF"/>
    <w:rsid w:val="004C72A7"/>
    <w:rsid w:val="004D6239"/>
    <w:rsid w:val="004E3541"/>
    <w:rsid w:val="004E5203"/>
    <w:rsid w:val="004F15D6"/>
    <w:rsid w:val="004F6AF3"/>
    <w:rsid w:val="004F6EE7"/>
    <w:rsid w:val="00501423"/>
    <w:rsid w:val="00503826"/>
    <w:rsid w:val="005071B5"/>
    <w:rsid w:val="0051300E"/>
    <w:rsid w:val="00514149"/>
    <w:rsid w:val="0051745D"/>
    <w:rsid w:val="00520FFA"/>
    <w:rsid w:val="00521ACC"/>
    <w:rsid w:val="00522669"/>
    <w:rsid w:val="00524ADD"/>
    <w:rsid w:val="00527C89"/>
    <w:rsid w:val="00530C95"/>
    <w:rsid w:val="005433FA"/>
    <w:rsid w:val="00546DB9"/>
    <w:rsid w:val="0055524B"/>
    <w:rsid w:val="00557738"/>
    <w:rsid w:val="005606A0"/>
    <w:rsid w:val="00561104"/>
    <w:rsid w:val="00562D69"/>
    <w:rsid w:val="005657F8"/>
    <w:rsid w:val="00576B03"/>
    <w:rsid w:val="00582001"/>
    <w:rsid w:val="00582FB3"/>
    <w:rsid w:val="00584A41"/>
    <w:rsid w:val="005850B9"/>
    <w:rsid w:val="00590D8E"/>
    <w:rsid w:val="00591DDF"/>
    <w:rsid w:val="00595823"/>
    <w:rsid w:val="005A1C92"/>
    <w:rsid w:val="005A7918"/>
    <w:rsid w:val="005B20A5"/>
    <w:rsid w:val="005C200F"/>
    <w:rsid w:val="005C3407"/>
    <w:rsid w:val="005C7C24"/>
    <w:rsid w:val="005C7CCE"/>
    <w:rsid w:val="005D0F26"/>
    <w:rsid w:val="005D3D8C"/>
    <w:rsid w:val="005D507C"/>
    <w:rsid w:val="005D5507"/>
    <w:rsid w:val="005D7C20"/>
    <w:rsid w:val="005E4202"/>
    <w:rsid w:val="005F1DB8"/>
    <w:rsid w:val="005F68EF"/>
    <w:rsid w:val="00604A15"/>
    <w:rsid w:val="00604EDD"/>
    <w:rsid w:val="0060635F"/>
    <w:rsid w:val="006065FD"/>
    <w:rsid w:val="00607146"/>
    <w:rsid w:val="00612788"/>
    <w:rsid w:val="00613D67"/>
    <w:rsid w:val="00616EEA"/>
    <w:rsid w:val="00621DBE"/>
    <w:rsid w:val="006241B2"/>
    <w:rsid w:val="00634D57"/>
    <w:rsid w:val="00642167"/>
    <w:rsid w:val="00646E45"/>
    <w:rsid w:val="00647DAB"/>
    <w:rsid w:val="00650846"/>
    <w:rsid w:val="00650CA9"/>
    <w:rsid w:val="00663099"/>
    <w:rsid w:val="006632CA"/>
    <w:rsid w:val="0066447F"/>
    <w:rsid w:val="00664578"/>
    <w:rsid w:val="006651AF"/>
    <w:rsid w:val="00670FD5"/>
    <w:rsid w:val="00674082"/>
    <w:rsid w:val="00674330"/>
    <w:rsid w:val="006765D6"/>
    <w:rsid w:val="0068670C"/>
    <w:rsid w:val="00691545"/>
    <w:rsid w:val="00694BC2"/>
    <w:rsid w:val="00696211"/>
    <w:rsid w:val="006977B2"/>
    <w:rsid w:val="006A334B"/>
    <w:rsid w:val="006A6283"/>
    <w:rsid w:val="006B6023"/>
    <w:rsid w:val="006C22B2"/>
    <w:rsid w:val="006C22E7"/>
    <w:rsid w:val="006C3949"/>
    <w:rsid w:val="006C496C"/>
    <w:rsid w:val="006C6138"/>
    <w:rsid w:val="006C77AD"/>
    <w:rsid w:val="006D1AB9"/>
    <w:rsid w:val="006D7DB3"/>
    <w:rsid w:val="006D7FFA"/>
    <w:rsid w:val="006E3D65"/>
    <w:rsid w:val="006E4861"/>
    <w:rsid w:val="006E7164"/>
    <w:rsid w:val="006F3537"/>
    <w:rsid w:val="006F6500"/>
    <w:rsid w:val="00725D27"/>
    <w:rsid w:val="00726E13"/>
    <w:rsid w:val="00732CBD"/>
    <w:rsid w:val="00733438"/>
    <w:rsid w:val="0073366B"/>
    <w:rsid w:val="00741928"/>
    <w:rsid w:val="00742C6D"/>
    <w:rsid w:val="00751B90"/>
    <w:rsid w:val="0075250D"/>
    <w:rsid w:val="00752863"/>
    <w:rsid w:val="007624E3"/>
    <w:rsid w:val="00764A5F"/>
    <w:rsid w:val="00770896"/>
    <w:rsid w:val="00773449"/>
    <w:rsid w:val="007862C8"/>
    <w:rsid w:val="00793DBB"/>
    <w:rsid w:val="007A2E14"/>
    <w:rsid w:val="007B078E"/>
    <w:rsid w:val="007B2930"/>
    <w:rsid w:val="007B633D"/>
    <w:rsid w:val="007C3CEA"/>
    <w:rsid w:val="007C6B61"/>
    <w:rsid w:val="007D3A30"/>
    <w:rsid w:val="007D40EE"/>
    <w:rsid w:val="007D5641"/>
    <w:rsid w:val="007E31BF"/>
    <w:rsid w:val="007E63C1"/>
    <w:rsid w:val="007E6814"/>
    <w:rsid w:val="007E78A3"/>
    <w:rsid w:val="007F150D"/>
    <w:rsid w:val="008122C5"/>
    <w:rsid w:val="00813CBB"/>
    <w:rsid w:val="00815942"/>
    <w:rsid w:val="00825601"/>
    <w:rsid w:val="008265DB"/>
    <w:rsid w:val="008413C8"/>
    <w:rsid w:val="0084458F"/>
    <w:rsid w:val="00844961"/>
    <w:rsid w:val="00844EBC"/>
    <w:rsid w:val="00851D82"/>
    <w:rsid w:val="00861A66"/>
    <w:rsid w:val="00862FCC"/>
    <w:rsid w:val="00871972"/>
    <w:rsid w:val="0087332A"/>
    <w:rsid w:val="00874E6A"/>
    <w:rsid w:val="008755E8"/>
    <w:rsid w:val="00876C96"/>
    <w:rsid w:val="00880349"/>
    <w:rsid w:val="00881725"/>
    <w:rsid w:val="00885DC6"/>
    <w:rsid w:val="00890BF4"/>
    <w:rsid w:val="00892102"/>
    <w:rsid w:val="008A0905"/>
    <w:rsid w:val="008A2FF0"/>
    <w:rsid w:val="008A655C"/>
    <w:rsid w:val="008B076B"/>
    <w:rsid w:val="008B646F"/>
    <w:rsid w:val="008B73A5"/>
    <w:rsid w:val="008C49C6"/>
    <w:rsid w:val="008C7493"/>
    <w:rsid w:val="008C7F29"/>
    <w:rsid w:val="008D2363"/>
    <w:rsid w:val="008D68B0"/>
    <w:rsid w:val="008E592F"/>
    <w:rsid w:val="008E6145"/>
    <w:rsid w:val="008E73BA"/>
    <w:rsid w:val="008F70E2"/>
    <w:rsid w:val="0090141E"/>
    <w:rsid w:val="0090534C"/>
    <w:rsid w:val="009073E4"/>
    <w:rsid w:val="00907C6A"/>
    <w:rsid w:val="0091477B"/>
    <w:rsid w:val="0092010C"/>
    <w:rsid w:val="00922112"/>
    <w:rsid w:val="00923D66"/>
    <w:rsid w:val="00930966"/>
    <w:rsid w:val="009453DD"/>
    <w:rsid w:val="0094592C"/>
    <w:rsid w:val="009619F7"/>
    <w:rsid w:val="00963924"/>
    <w:rsid w:val="009707AC"/>
    <w:rsid w:val="00974AA6"/>
    <w:rsid w:val="00981FCC"/>
    <w:rsid w:val="00983727"/>
    <w:rsid w:val="0098416E"/>
    <w:rsid w:val="009851AA"/>
    <w:rsid w:val="009863B5"/>
    <w:rsid w:val="00987C8D"/>
    <w:rsid w:val="00995546"/>
    <w:rsid w:val="00995ED7"/>
    <w:rsid w:val="009A3708"/>
    <w:rsid w:val="009A4867"/>
    <w:rsid w:val="009A5018"/>
    <w:rsid w:val="009A7E8A"/>
    <w:rsid w:val="009B33B3"/>
    <w:rsid w:val="009B535F"/>
    <w:rsid w:val="009C101D"/>
    <w:rsid w:val="009C3A20"/>
    <w:rsid w:val="009C45C5"/>
    <w:rsid w:val="009C46EF"/>
    <w:rsid w:val="009D32C2"/>
    <w:rsid w:val="009D39CE"/>
    <w:rsid w:val="009E144F"/>
    <w:rsid w:val="009F06C5"/>
    <w:rsid w:val="00A04BC0"/>
    <w:rsid w:val="00A04C94"/>
    <w:rsid w:val="00A06291"/>
    <w:rsid w:val="00A066AB"/>
    <w:rsid w:val="00A14CAA"/>
    <w:rsid w:val="00A1735C"/>
    <w:rsid w:val="00A17B69"/>
    <w:rsid w:val="00A22819"/>
    <w:rsid w:val="00A22E7E"/>
    <w:rsid w:val="00A26FB7"/>
    <w:rsid w:val="00A338F4"/>
    <w:rsid w:val="00A4495D"/>
    <w:rsid w:val="00A46B1D"/>
    <w:rsid w:val="00A52A69"/>
    <w:rsid w:val="00A52C02"/>
    <w:rsid w:val="00A53717"/>
    <w:rsid w:val="00A53E93"/>
    <w:rsid w:val="00A6065A"/>
    <w:rsid w:val="00A60FD6"/>
    <w:rsid w:val="00A6108D"/>
    <w:rsid w:val="00A7077B"/>
    <w:rsid w:val="00A710FB"/>
    <w:rsid w:val="00A85170"/>
    <w:rsid w:val="00A86651"/>
    <w:rsid w:val="00A9298C"/>
    <w:rsid w:val="00AB2B4C"/>
    <w:rsid w:val="00AB4ED3"/>
    <w:rsid w:val="00AB5B20"/>
    <w:rsid w:val="00AC61D5"/>
    <w:rsid w:val="00AD3EE0"/>
    <w:rsid w:val="00AE1059"/>
    <w:rsid w:val="00AE374D"/>
    <w:rsid w:val="00AE48E5"/>
    <w:rsid w:val="00AF0F7C"/>
    <w:rsid w:val="00B00CA6"/>
    <w:rsid w:val="00B071BF"/>
    <w:rsid w:val="00B12565"/>
    <w:rsid w:val="00B16CB5"/>
    <w:rsid w:val="00B205BC"/>
    <w:rsid w:val="00B51C3E"/>
    <w:rsid w:val="00B551B8"/>
    <w:rsid w:val="00B56212"/>
    <w:rsid w:val="00B5750E"/>
    <w:rsid w:val="00B60016"/>
    <w:rsid w:val="00B67B05"/>
    <w:rsid w:val="00B72C85"/>
    <w:rsid w:val="00B741BE"/>
    <w:rsid w:val="00B7485D"/>
    <w:rsid w:val="00B75B59"/>
    <w:rsid w:val="00B8397A"/>
    <w:rsid w:val="00B83F84"/>
    <w:rsid w:val="00B87722"/>
    <w:rsid w:val="00B9339F"/>
    <w:rsid w:val="00B933F6"/>
    <w:rsid w:val="00B94C43"/>
    <w:rsid w:val="00BA03F9"/>
    <w:rsid w:val="00BA5C40"/>
    <w:rsid w:val="00BB6A85"/>
    <w:rsid w:val="00BC1803"/>
    <w:rsid w:val="00BC5D03"/>
    <w:rsid w:val="00BD1E6A"/>
    <w:rsid w:val="00BD542C"/>
    <w:rsid w:val="00BD5ACC"/>
    <w:rsid w:val="00BE409D"/>
    <w:rsid w:val="00BF593C"/>
    <w:rsid w:val="00C05979"/>
    <w:rsid w:val="00C123C0"/>
    <w:rsid w:val="00C157A0"/>
    <w:rsid w:val="00C16A1F"/>
    <w:rsid w:val="00C17FF4"/>
    <w:rsid w:val="00C217BA"/>
    <w:rsid w:val="00C22BA5"/>
    <w:rsid w:val="00C238E4"/>
    <w:rsid w:val="00C3270E"/>
    <w:rsid w:val="00C34341"/>
    <w:rsid w:val="00C349DA"/>
    <w:rsid w:val="00C35F16"/>
    <w:rsid w:val="00C41A86"/>
    <w:rsid w:val="00C522FF"/>
    <w:rsid w:val="00C6603A"/>
    <w:rsid w:val="00C71EDA"/>
    <w:rsid w:val="00C8201C"/>
    <w:rsid w:val="00C8615D"/>
    <w:rsid w:val="00C87777"/>
    <w:rsid w:val="00C8789A"/>
    <w:rsid w:val="00C90CE0"/>
    <w:rsid w:val="00CA031F"/>
    <w:rsid w:val="00CA5185"/>
    <w:rsid w:val="00CA6EA5"/>
    <w:rsid w:val="00CA73CA"/>
    <w:rsid w:val="00CB1A11"/>
    <w:rsid w:val="00CB2A90"/>
    <w:rsid w:val="00CB2FAA"/>
    <w:rsid w:val="00CB39DD"/>
    <w:rsid w:val="00CB7198"/>
    <w:rsid w:val="00CC389D"/>
    <w:rsid w:val="00CD0821"/>
    <w:rsid w:val="00CD1960"/>
    <w:rsid w:val="00CD370B"/>
    <w:rsid w:val="00CE0B77"/>
    <w:rsid w:val="00CE155C"/>
    <w:rsid w:val="00CE597C"/>
    <w:rsid w:val="00CF6D05"/>
    <w:rsid w:val="00CF6D99"/>
    <w:rsid w:val="00D020C2"/>
    <w:rsid w:val="00D06D2A"/>
    <w:rsid w:val="00D11B20"/>
    <w:rsid w:val="00D11D26"/>
    <w:rsid w:val="00D1713E"/>
    <w:rsid w:val="00D17297"/>
    <w:rsid w:val="00D2492D"/>
    <w:rsid w:val="00D264B0"/>
    <w:rsid w:val="00D30A79"/>
    <w:rsid w:val="00D351C9"/>
    <w:rsid w:val="00D3648E"/>
    <w:rsid w:val="00D402DB"/>
    <w:rsid w:val="00D44BF7"/>
    <w:rsid w:val="00D45F68"/>
    <w:rsid w:val="00D46183"/>
    <w:rsid w:val="00D55F2D"/>
    <w:rsid w:val="00D6639C"/>
    <w:rsid w:val="00D72074"/>
    <w:rsid w:val="00D7589F"/>
    <w:rsid w:val="00D77E03"/>
    <w:rsid w:val="00D90C07"/>
    <w:rsid w:val="00D95A89"/>
    <w:rsid w:val="00D96762"/>
    <w:rsid w:val="00DA2CB0"/>
    <w:rsid w:val="00DA3011"/>
    <w:rsid w:val="00DA7A7A"/>
    <w:rsid w:val="00DB117A"/>
    <w:rsid w:val="00DC5650"/>
    <w:rsid w:val="00DD170C"/>
    <w:rsid w:val="00DD58C8"/>
    <w:rsid w:val="00DD7626"/>
    <w:rsid w:val="00DD7B22"/>
    <w:rsid w:val="00DF1566"/>
    <w:rsid w:val="00DF19E6"/>
    <w:rsid w:val="00DF3CA4"/>
    <w:rsid w:val="00DF7A06"/>
    <w:rsid w:val="00E04211"/>
    <w:rsid w:val="00E051F0"/>
    <w:rsid w:val="00E07F17"/>
    <w:rsid w:val="00E13685"/>
    <w:rsid w:val="00E141EC"/>
    <w:rsid w:val="00E206E0"/>
    <w:rsid w:val="00E32CD9"/>
    <w:rsid w:val="00E32F1A"/>
    <w:rsid w:val="00E35A04"/>
    <w:rsid w:val="00E35FAC"/>
    <w:rsid w:val="00E36D78"/>
    <w:rsid w:val="00E50417"/>
    <w:rsid w:val="00E50B8E"/>
    <w:rsid w:val="00E63375"/>
    <w:rsid w:val="00E65F59"/>
    <w:rsid w:val="00E72134"/>
    <w:rsid w:val="00E74D50"/>
    <w:rsid w:val="00E74F70"/>
    <w:rsid w:val="00E754CC"/>
    <w:rsid w:val="00E81BA9"/>
    <w:rsid w:val="00E86ECC"/>
    <w:rsid w:val="00E91F42"/>
    <w:rsid w:val="00E95DBD"/>
    <w:rsid w:val="00EA2D45"/>
    <w:rsid w:val="00EA75FA"/>
    <w:rsid w:val="00EA7B14"/>
    <w:rsid w:val="00EB09EC"/>
    <w:rsid w:val="00EB1794"/>
    <w:rsid w:val="00EB1803"/>
    <w:rsid w:val="00EB6FD0"/>
    <w:rsid w:val="00EC1B6A"/>
    <w:rsid w:val="00EC46FB"/>
    <w:rsid w:val="00EC6D78"/>
    <w:rsid w:val="00EC7922"/>
    <w:rsid w:val="00ED3D0D"/>
    <w:rsid w:val="00EE300C"/>
    <w:rsid w:val="00EE30DD"/>
    <w:rsid w:val="00EE34B5"/>
    <w:rsid w:val="00EF01B2"/>
    <w:rsid w:val="00EF23E5"/>
    <w:rsid w:val="00EF4DB6"/>
    <w:rsid w:val="00F03A3E"/>
    <w:rsid w:val="00F107C0"/>
    <w:rsid w:val="00F201F5"/>
    <w:rsid w:val="00F25D15"/>
    <w:rsid w:val="00F306CF"/>
    <w:rsid w:val="00F327B0"/>
    <w:rsid w:val="00F3549D"/>
    <w:rsid w:val="00F375AE"/>
    <w:rsid w:val="00F55D8C"/>
    <w:rsid w:val="00F601CC"/>
    <w:rsid w:val="00F61343"/>
    <w:rsid w:val="00F71268"/>
    <w:rsid w:val="00F73CF7"/>
    <w:rsid w:val="00F7547E"/>
    <w:rsid w:val="00F86955"/>
    <w:rsid w:val="00F911C9"/>
    <w:rsid w:val="00F945C2"/>
    <w:rsid w:val="00F94ADF"/>
    <w:rsid w:val="00F94F86"/>
    <w:rsid w:val="00F9569D"/>
    <w:rsid w:val="00F95BCC"/>
    <w:rsid w:val="00F96BC3"/>
    <w:rsid w:val="00FB4680"/>
    <w:rsid w:val="00FB7A7E"/>
    <w:rsid w:val="00FC1D67"/>
    <w:rsid w:val="00FF48D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0C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70C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C522F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50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C1803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522F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C1803"/>
    <w:rPr>
      <w:rFonts w:ascii="Cambria" w:hAnsi="Cambria" w:cs="Cambria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A3001"/>
  </w:style>
  <w:style w:type="paragraph" w:styleId="Rodap">
    <w:name w:val="footer"/>
    <w:basedOn w:val="Normal"/>
    <w:link w:val="RodapChar"/>
    <w:uiPriority w:val="99"/>
    <w:rsid w:val="00DF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C1803"/>
    <w:rPr>
      <w:sz w:val="20"/>
      <w:szCs w:val="20"/>
    </w:rPr>
  </w:style>
  <w:style w:type="table" w:styleId="Tabelacomgrade">
    <w:name w:val="Table Grid"/>
    <w:basedOn w:val="Tabelanormal"/>
    <w:uiPriority w:val="99"/>
    <w:rsid w:val="009863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rsid w:val="001B370C"/>
    <w:pPr>
      <w:ind w:firstLine="1134"/>
      <w:jc w:val="both"/>
    </w:pPr>
    <w:rPr>
      <w:rFonts w:ascii="Arial" w:hAnsi="Arial" w:cs="Arial"/>
      <w:kern w:val="28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C1803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1B370C"/>
    <w:pPr>
      <w:spacing w:line="360" w:lineRule="auto"/>
      <w:ind w:firstLine="2268"/>
      <w:jc w:val="both"/>
    </w:pPr>
    <w:rPr>
      <w:rFonts w:ascii="Arial" w:hAnsi="Arial" w:cs="Arial"/>
      <w:sz w:val="28"/>
      <w:szCs w:val="28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C1803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874E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C1803"/>
    <w:rPr>
      <w:sz w:val="2"/>
      <w:szCs w:val="2"/>
    </w:rPr>
  </w:style>
  <w:style w:type="character" w:styleId="Hyperlink">
    <w:name w:val="Hyperlink"/>
    <w:basedOn w:val="Fontepargpadro"/>
    <w:uiPriority w:val="99"/>
    <w:rsid w:val="00252C95"/>
    <w:rPr>
      <w:color w:val="0000FF"/>
      <w:u w:val="single"/>
    </w:rPr>
  </w:style>
  <w:style w:type="character" w:styleId="Forte">
    <w:name w:val="Strong"/>
    <w:basedOn w:val="Fontepargpadro"/>
    <w:uiPriority w:val="99"/>
    <w:qFormat/>
    <w:rsid w:val="00252C95"/>
    <w:rPr>
      <w:b/>
      <w:bCs/>
    </w:rPr>
  </w:style>
  <w:style w:type="paragraph" w:styleId="PargrafodaLista">
    <w:name w:val="List Paragraph"/>
    <w:basedOn w:val="Normal"/>
    <w:uiPriority w:val="99"/>
    <w:qFormat/>
    <w:rsid w:val="00267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rsid w:val="00C522F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C522FF"/>
  </w:style>
  <w:style w:type="paragraph" w:styleId="NormalWeb">
    <w:name w:val="Normal (Web)"/>
    <w:basedOn w:val="Normal"/>
    <w:uiPriority w:val="99"/>
    <w:rsid w:val="00FF48D5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basedOn w:val="Fontepargpadro"/>
    <w:uiPriority w:val="99"/>
    <w:rsid w:val="000B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4598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</vt:lpstr>
    </vt:vector>
  </TitlesOfParts>
  <Company>PMSP</Company>
  <LinksUpToDate>false</LinksUpToDate>
  <CharactersWithSpaces>28923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</dc:title>
  <dc:creator>d315261</dc:creator>
  <cp:lastModifiedBy>Edmundo Aoyama</cp:lastModifiedBy>
  <cp:revision>2</cp:revision>
  <cp:lastPrinted>2015-05-14T19:31:00Z</cp:lastPrinted>
  <dcterms:created xsi:type="dcterms:W3CDTF">2015-11-18T20:06:00Z</dcterms:created>
  <dcterms:modified xsi:type="dcterms:W3CDTF">2015-11-18T20:06:00Z</dcterms:modified>
</cp:coreProperties>
</file>