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ind w:left="0"/>
        <w:rPr>
          <w:rFonts w:ascii="Times New Roman"/>
          <w:sz w:val="18"/>
        </w:rPr>
      </w:pPr>
    </w:p>
    <w:p>
      <w:pPr>
        <w:spacing w:before="100"/>
        <w:ind w:left="3516" w:right="3535" w:firstLine="0"/>
        <w:jc w:val="center"/>
        <w:rPr>
          <w:b/>
          <w:sz w:val="24"/>
        </w:rPr>
      </w:pPr>
      <w:r>
        <w:rPr>
          <w:b/>
          <w:sz w:val="24"/>
        </w:rPr>
        <w:t>REGISTRO DE ATIVIDADES</w:t>
      </w:r>
    </w:p>
    <w:p>
      <w:pPr>
        <w:pStyle w:val="BodyText"/>
        <w:spacing w:before="2"/>
        <w:ind w:left="0"/>
        <w:rPr>
          <w:b/>
          <w:sz w:val="20"/>
        </w:rPr>
      </w:pPr>
      <w:r>
        <w:rPr/>
        <w:pict>
          <v:shape style="position:absolute;margin-left:44.279999pt;margin-top:13.376504pt;width:507pt;height:19.350pt;mso-position-horizontal-relative:page;mso-position-vertical-relative:paragraph;z-index:-1024;mso-wrap-distance-left:0;mso-wrap-distance-right:0" type="#_x0000_t202" filled="true" fillcolor="#f1f1f1" stroked="false">
            <v:textbox inset="0,0,0,0">
              <w:txbxContent>
                <w:p>
                  <w:pPr>
                    <w:spacing w:before="58"/>
                    <w:ind w:left="107" w:right="0" w:firstLine="0"/>
                    <w:jc w:val="left"/>
                    <w:rPr>
                      <w:b/>
                      <w:sz w:val="22"/>
                    </w:rPr>
                  </w:pPr>
                  <w:r>
                    <w:rPr>
                      <w:b/>
                      <w:sz w:val="22"/>
                    </w:rPr>
                    <w:t>Atividade:</w:t>
                  </w:r>
                </w:p>
              </w:txbxContent>
            </v:textbox>
            <v:fill type="solid"/>
            <w10:wrap type="topAndBottom"/>
          </v:shape>
        </w:pict>
      </w:r>
    </w:p>
    <w:p>
      <w:pPr>
        <w:pStyle w:val="BodyText"/>
        <w:spacing w:line="20" w:lineRule="exact"/>
        <w:ind w:left="120"/>
        <w:rPr>
          <w:sz w:val="2"/>
        </w:rPr>
      </w:pPr>
      <w:r>
        <w:rPr>
          <w:sz w:val="2"/>
        </w:rPr>
        <w:pict>
          <v:group style="width:507pt;height:.5pt;mso-position-horizontal-relative:char;mso-position-vertical-relative:line" coordorigin="0,0" coordsize="10140,10">
            <v:line style="position:absolute" from="0,5" to="10140,5" stroked="true" strokeweight=".48pt" strokecolor="#000000">
              <v:stroke dashstyle="solid"/>
            </v:line>
          </v:group>
        </w:pict>
      </w:r>
      <w:r>
        <w:rPr>
          <w:sz w:val="2"/>
        </w:rPr>
      </w:r>
    </w:p>
    <w:p>
      <w:pPr>
        <w:spacing w:before="33"/>
        <w:ind w:left="233" w:right="0" w:firstLine="0"/>
        <w:jc w:val="left"/>
        <w:rPr>
          <w:b/>
          <w:sz w:val="22"/>
        </w:rPr>
      </w:pPr>
      <w:r>
        <w:rPr>
          <w:b/>
          <w:sz w:val="22"/>
        </w:rPr>
        <w:t>Reunião do Conselho Municipal dos Direitos da Juventude</w:t>
      </w:r>
    </w:p>
    <w:p>
      <w:pPr>
        <w:pStyle w:val="BodyText"/>
        <w:ind w:left="0"/>
        <w:rPr>
          <w:b/>
          <w:sz w:val="25"/>
        </w:rPr>
      </w:pPr>
      <w:r>
        <w:rPr/>
        <w:pict>
          <v:shape style="position:absolute;margin-left:44.279999pt;margin-top:16.322657pt;width:507pt;height:19.350pt;mso-position-horizontal-relative:page;mso-position-vertical-relative:paragraph;z-index:-976;mso-wrap-distance-left:0;mso-wrap-distance-right:0" type="#_x0000_t202" filled="true" fillcolor="#f1f1f1" stroked="false">
            <v:textbox inset="0,0,0,0">
              <w:txbxContent>
                <w:p>
                  <w:pPr>
                    <w:tabs>
                      <w:tab w:pos="3488" w:val="left" w:leader="none"/>
                      <w:tab w:pos="6867" w:val="left" w:leader="none"/>
                    </w:tabs>
                    <w:spacing w:before="58"/>
                    <w:ind w:left="107" w:right="0" w:firstLine="0"/>
                    <w:jc w:val="left"/>
                    <w:rPr>
                      <w:b/>
                      <w:sz w:val="22"/>
                    </w:rPr>
                  </w:pPr>
                  <w:r>
                    <w:rPr>
                      <w:b/>
                      <w:sz w:val="22"/>
                    </w:rPr>
                    <w:t>Data:</w:t>
                    <w:tab/>
                    <w:t>Hora:</w:t>
                    <w:tab/>
                    <w:t>Local:</w:t>
                  </w:r>
                </w:p>
              </w:txbxContent>
            </v:textbox>
            <v:fill type="solid"/>
            <w10:wrap type="topAndBottom"/>
          </v:shape>
        </w:pict>
      </w:r>
    </w:p>
    <w:p>
      <w:pPr>
        <w:pStyle w:val="BodyText"/>
        <w:spacing w:line="20" w:lineRule="exact"/>
        <w:ind w:left="120"/>
        <w:rPr>
          <w:sz w:val="2"/>
        </w:rPr>
      </w:pPr>
      <w:r>
        <w:rPr>
          <w:sz w:val="2"/>
        </w:rPr>
        <w:pict>
          <v:group style="width:507pt;height:.5pt;mso-position-horizontal-relative:char;mso-position-vertical-relative:line" coordorigin="0,0" coordsize="10140,10">
            <v:line style="position:absolute" from="0,5" to="3380,5" stroked="true" strokeweight=".48001pt" strokecolor="#000000">
              <v:stroke dashstyle="solid"/>
            </v:line>
            <v:rect style="position:absolute;left:3380;top:0;width:10;height:10" filled="true" fillcolor="#000000" stroked="false">
              <v:fill type="solid"/>
            </v:rect>
            <v:line style="position:absolute" from="3390,5" to="6760,5" stroked="true" strokeweight=".48001pt" strokecolor="#000000">
              <v:stroke dashstyle="solid"/>
            </v:line>
            <v:rect style="position:absolute;left:6759;top:0;width:10;height:10" filled="true" fillcolor="#000000" stroked="false">
              <v:fill type="solid"/>
            </v:rect>
            <v:line style="position:absolute" from="6769,5" to="10140,5" stroked="true" strokeweight=".48001pt" strokecolor="#000000">
              <v:stroke dashstyle="solid"/>
            </v:line>
          </v:group>
        </w:pict>
      </w:r>
      <w:r>
        <w:rPr>
          <w:sz w:val="2"/>
        </w:rPr>
      </w:r>
    </w:p>
    <w:p>
      <w:pPr>
        <w:tabs>
          <w:tab w:pos="3613" w:val="left" w:leader="none"/>
          <w:tab w:pos="6993" w:val="left" w:leader="none"/>
        </w:tabs>
        <w:spacing w:before="33"/>
        <w:ind w:left="233" w:right="0" w:firstLine="0"/>
        <w:jc w:val="left"/>
        <w:rPr>
          <w:b/>
          <w:sz w:val="22"/>
        </w:rPr>
      </w:pPr>
      <w:r>
        <w:rPr>
          <w:b/>
          <w:sz w:val="22"/>
        </w:rPr>
        <w:t>02/04/2018</w:t>
        <w:tab/>
        <w:t>19:30</w:t>
        <w:tab/>
        <w:t>Auditório da</w:t>
      </w:r>
      <w:r>
        <w:rPr>
          <w:b/>
          <w:spacing w:val="-1"/>
          <w:sz w:val="22"/>
        </w:rPr>
        <w:t> </w:t>
      </w:r>
      <w:r>
        <w:rPr>
          <w:b/>
          <w:sz w:val="22"/>
        </w:rPr>
        <w:t>SMDHC</w:t>
      </w:r>
    </w:p>
    <w:p>
      <w:pPr>
        <w:pStyle w:val="BodyText"/>
        <w:spacing w:before="1"/>
        <w:ind w:left="0"/>
        <w:rPr>
          <w:b/>
          <w:sz w:val="25"/>
        </w:rPr>
      </w:pPr>
      <w:r>
        <w:rPr/>
        <w:pict>
          <v:shape style="position:absolute;margin-left:44.279999pt;margin-top:16.352667pt;width:507pt;height:19.350pt;mso-position-horizontal-relative:page;mso-position-vertical-relative:paragraph;z-index:-928;mso-wrap-distance-left:0;mso-wrap-distance-right:0" type="#_x0000_t202" filled="true" fillcolor="#f1f1f1" stroked="false">
            <v:textbox inset="0,0,0,0">
              <w:txbxContent>
                <w:p>
                  <w:pPr>
                    <w:spacing w:before="58"/>
                    <w:ind w:left="107" w:right="0" w:firstLine="0"/>
                    <w:jc w:val="left"/>
                    <w:rPr>
                      <w:b/>
                      <w:sz w:val="22"/>
                    </w:rPr>
                  </w:pPr>
                  <w:r>
                    <w:rPr>
                      <w:b/>
                      <w:sz w:val="22"/>
                    </w:rPr>
                    <w:t>Observação</w:t>
                  </w:r>
                </w:p>
              </w:txbxContent>
            </v:textbox>
            <v:fill type="solid"/>
            <w10:wrap type="topAndBottom"/>
          </v:shape>
        </w:pict>
      </w:r>
    </w:p>
    <w:p>
      <w:pPr>
        <w:pStyle w:val="BodyText"/>
        <w:spacing w:line="20" w:lineRule="exact"/>
        <w:ind w:left="120"/>
        <w:rPr>
          <w:sz w:val="2"/>
        </w:rPr>
      </w:pPr>
      <w:r>
        <w:rPr>
          <w:sz w:val="2"/>
        </w:rPr>
        <w:pict>
          <v:group style="width:507pt;height:.5pt;mso-position-horizontal-relative:char;mso-position-vertical-relative:line" coordorigin="0,0" coordsize="10140,10">
            <v:line style="position:absolute" from="0,5" to="10140,5" stroked="true" strokeweight=".48001pt" strokecolor="#000000">
              <v:stroke dashstyle="solid"/>
            </v:line>
          </v:group>
        </w:pict>
      </w:r>
      <w:r>
        <w:rPr>
          <w:sz w:val="2"/>
        </w:rPr>
      </w:r>
    </w:p>
    <w:p>
      <w:pPr>
        <w:pStyle w:val="BodyText"/>
        <w:spacing w:before="32"/>
        <w:ind w:left="233"/>
      </w:pPr>
      <w:r>
        <w:rPr/>
        <w:t>A reunião iniciou-se às 19h45, embora convocada para 19h30.</w:t>
      </w:r>
    </w:p>
    <w:p>
      <w:pPr>
        <w:pStyle w:val="BodyText"/>
        <w:spacing w:before="1"/>
        <w:ind w:left="0"/>
        <w:rPr>
          <w:sz w:val="25"/>
        </w:rPr>
      </w:pPr>
      <w:r>
        <w:rPr/>
        <w:pict>
          <v:shape style="position:absolute;margin-left:44.279999pt;margin-top:16.365635pt;width:507pt;height:19.350pt;mso-position-horizontal-relative:page;mso-position-vertical-relative:paragraph;z-index:-880;mso-wrap-distance-left:0;mso-wrap-distance-right:0" type="#_x0000_t202" filled="true" fillcolor="#f1f1f1" stroked="false">
            <v:textbox inset="0,0,0,0">
              <w:txbxContent>
                <w:p>
                  <w:pPr>
                    <w:spacing w:before="58"/>
                    <w:ind w:left="107" w:right="0" w:firstLine="0"/>
                    <w:jc w:val="left"/>
                    <w:rPr>
                      <w:b/>
                      <w:sz w:val="22"/>
                    </w:rPr>
                  </w:pPr>
                  <w:r>
                    <w:rPr>
                      <w:b/>
                      <w:sz w:val="22"/>
                    </w:rPr>
                    <w:t>Participantes</w:t>
                  </w:r>
                </w:p>
              </w:txbxContent>
            </v:textbox>
            <v:fill type="solid"/>
            <w10:wrap type="topAndBottom"/>
          </v:shape>
        </w:pict>
      </w:r>
    </w:p>
    <w:p>
      <w:pPr>
        <w:pStyle w:val="BodyText"/>
        <w:spacing w:line="20" w:lineRule="exact"/>
        <w:ind w:left="120"/>
        <w:rPr>
          <w:sz w:val="2"/>
        </w:rPr>
      </w:pPr>
      <w:r>
        <w:rPr>
          <w:sz w:val="2"/>
        </w:rPr>
        <w:pict>
          <v:group style="width:507pt;height:.5pt;mso-position-horizontal-relative:char;mso-position-vertical-relative:line" coordorigin="0,0" coordsize="10140,10">
            <v:line style="position:absolute" from="0,5" to="10140,5" stroked="true" strokeweight=".47998pt" strokecolor="#000000">
              <v:stroke dashstyle="solid"/>
            </v:line>
          </v:group>
        </w:pict>
      </w:r>
      <w:r>
        <w:rPr>
          <w:sz w:val="2"/>
        </w:rPr>
      </w:r>
    </w:p>
    <w:p>
      <w:pPr>
        <w:pStyle w:val="BodyText"/>
        <w:spacing w:before="32"/>
        <w:ind w:left="233"/>
      </w:pPr>
      <w:r>
        <w:rPr/>
        <w:t>Poder Público:</w:t>
      </w:r>
    </w:p>
    <w:p>
      <w:pPr>
        <w:pStyle w:val="BodyText"/>
        <w:spacing w:line="290" w:lineRule="auto" w:before="60"/>
        <w:ind w:left="233" w:right="6265"/>
      </w:pPr>
      <w:r>
        <w:rPr/>
        <w:t>Daniel Almeida dos Santos (SMDHC) Jorge Artur (SMADS)</w:t>
      </w:r>
    </w:p>
    <w:p>
      <w:pPr>
        <w:pStyle w:val="BodyText"/>
        <w:spacing w:before="10"/>
        <w:ind w:left="0"/>
        <w:rPr>
          <w:sz w:val="28"/>
        </w:rPr>
      </w:pPr>
    </w:p>
    <w:p>
      <w:pPr>
        <w:pStyle w:val="BodyText"/>
        <w:spacing w:before="1"/>
        <w:ind w:left="233"/>
      </w:pPr>
      <w:r>
        <w:rPr/>
        <w:t>Sociedade Civil:</w:t>
      </w:r>
    </w:p>
    <w:p>
      <w:pPr>
        <w:pStyle w:val="BodyText"/>
        <w:spacing w:line="290" w:lineRule="auto" w:before="60"/>
        <w:ind w:left="233" w:right="7136"/>
      </w:pPr>
      <w:r>
        <w:rPr/>
        <w:t>Dyego Rafael Barbosa (PJ) Fernanda M. dos Reis (CUT) Mylenna Souza Lírio (PJ)</w:t>
      </w:r>
    </w:p>
    <w:p>
      <w:pPr>
        <w:pStyle w:val="BodyText"/>
        <w:spacing w:line="287" w:lineRule="exact"/>
        <w:ind w:left="233"/>
      </w:pPr>
      <w:r>
        <w:rPr/>
        <w:t>Vanessa Correia (ANCHIETANUM)</w:t>
      </w:r>
    </w:p>
    <w:p>
      <w:pPr>
        <w:pStyle w:val="BodyText"/>
        <w:spacing w:before="11"/>
        <w:ind w:left="0"/>
        <w:rPr>
          <w:sz w:val="33"/>
        </w:rPr>
      </w:pPr>
    </w:p>
    <w:p>
      <w:pPr>
        <w:pStyle w:val="BodyText"/>
        <w:ind w:left="233"/>
      </w:pPr>
      <w:r>
        <w:rPr/>
        <w:t>Ouvinte:</w:t>
      </w:r>
    </w:p>
    <w:p>
      <w:pPr>
        <w:pStyle w:val="BodyText"/>
        <w:spacing w:before="60"/>
        <w:ind w:left="233"/>
      </w:pPr>
      <w:r>
        <w:rPr/>
        <w:t>Kevin dos Campos Correia (UFABC)</w:t>
      </w:r>
    </w:p>
    <w:p>
      <w:pPr>
        <w:pStyle w:val="BodyText"/>
        <w:spacing w:before="2"/>
        <w:ind w:left="0"/>
        <w:rPr>
          <w:sz w:val="25"/>
        </w:rPr>
      </w:pPr>
      <w:r>
        <w:rPr/>
        <w:pict>
          <v:shape style="position:absolute;margin-left:44.279999pt;margin-top:16.431461pt;width:507pt;height:19.350pt;mso-position-horizontal-relative:page;mso-position-vertical-relative:paragraph;z-index:-832;mso-wrap-distance-left:0;mso-wrap-distance-right:0" type="#_x0000_t202" filled="true" fillcolor="#f1f1f1" stroked="false">
            <v:textbox inset="0,0,0,0">
              <w:txbxContent>
                <w:p>
                  <w:pPr>
                    <w:spacing w:before="58"/>
                    <w:ind w:left="107" w:right="0" w:firstLine="0"/>
                    <w:jc w:val="left"/>
                    <w:rPr>
                      <w:b/>
                      <w:sz w:val="22"/>
                    </w:rPr>
                  </w:pPr>
                  <w:r>
                    <w:rPr>
                      <w:b/>
                      <w:sz w:val="22"/>
                    </w:rPr>
                    <w:t>Principais assuntos tratados</w:t>
                  </w:r>
                </w:p>
              </w:txbxContent>
            </v:textbox>
            <v:fill type="solid"/>
            <w10:wrap type="topAndBottom"/>
          </v:shape>
        </w:pict>
      </w:r>
    </w:p>
    <w:p>
      <w:pPr>
        <w:pStyle w:val="ListParagraph"/>
        <w:numPr>
          <w:ilvl w:val="0"/>
          <w:numId w:val="1"/>
        </w:numPr>
        <w:tabs>
          <w:tab w:pos="943" w:val="left" w:leader="none"/>
        </w:tabs>
        <w:spacing w:line="276" w:lineRule="auto" w:before="0" w:after="0"/>
        <w:ind w:left="954" w:right="208" w:hanging="360"/>
        <w:jc w:val="both"/>
        <w:rPr>
          <w:sz w:val="24"/>
        </w:rPr>
      </w:pPr>
      <w:r>
        <w:rPr>
          <w:sz w:val="24"/>
        </w:rPr>
        <w:t>A Coordenação convocou a reunião para dialogar sobre a realização da Conferência Municipal da Juventude, tendo em vista a preocupação de representantes da sociedade civil em relação à mobilização exigida e o curto prazo para</w:t>
      </w:r>
      <w:r>
        <w:rPr>
          <w:spacing w:val="-21"/>
          <w:sz w:val="24"/>
        </w:rPr>
        <w:t> </w:t>
      </w:r>
      <w:r>
        <w:rPr>
          <w:sz w:val="24"/>
        </w:rPr>
        <w:t>preparação.</w:t>
      </w:r>
    </w:p>
    <w:p>
      <w:pPr>
        <w:pStyle w:val="ListParagraph"/>
        <w:numPr>
          <w:ilvl w:val="0"/>
          <w:numId w:val="1"/>
        </w:numPr>
        <w:tabs>
          <w:tab w:pos="943" w:val="left" w:leader="none"/>
        </w:tabs>
        <w:spacing w:line="276" w:lineRule="auto" w:before="0" w:after="0"/>
        <w:ind w:left="954" w:right="211" w:hanging="360"/>
        <w:jc w:val="both"/>
        <w:rPr>
          <w:sz w:val="24"/>
        </w:rPr>
      </w:pPr>
      <w:r>
        <w:rPr/>
        <w:pict>
          <v:line style="position:absolute;mso-position-horizontal-relative:page;mso-position-vertical-relative:paragraph;z-index:1240" from="43.560001pt,-50.034134pt" to="551.280001pt,-50.034134pt" stroked="true" strokeweight=".47998pt" strokecolor="#000000">
            <v:stroke dashstyle="solid"/>
            <w10:wrap type="none"/>
          </v:line>
        </w:pict>
      </w:r>
      <w:r>
        <w:rPr>
          <w:sz w:val="24"/>
        </w:rPr>
        <w:t>Representantes da sociedade civil questionaram sobre os recursos materiais para viabilizar o evento. O Poder Público responde que há um diálogo aberto com o gabinete da SMDHC para articular os recursos financeiros, humanos e de espaço necessários.</w:t>
      </w:r>
    </w:p>
    <w:p>
      <w:pPr>
        <w:pStyle w:val="ListParagraph"/>
        <w:numPr>
          <w:ilvl w:val="0"/>
          <w:numId w:val="1"/>
        </w:numPr>
        <w:tabs>
          <w:tab w:pos="943" w:val="left" w:leader="none"/>
        </w:tabs>
        <w:spacing w:line="276" w:lineRule="auto" w:before="0" w:after="0"/>
        <w:ind w:left="954" w:right="209" w:hanging="360"/>
        <w:jc w:val="both"/>
        <w:rPr>
          <w:sz w:val="24"/>
        </w:rPr>
      </w:pPr>
      <w:r>
        <w:rPr>
          <w:sz w:val="24"/>
        </w:rPr>
        <w:t>Outra fala da sociedade civil questiona a exequibilidade da Conferência, pois a não previsão da Conferência Nacional geraria menor adesão da sociedade civil, criando brechas para vozes não consonantes com a temática da juventude em sua interface de direitos</w:t>
      </w:r>
      <w:r>
        <w:rPr>
          <w:spacing w:val="-1"/>
          <w:sz w:val="24"/>
        </w:rPr>
        <w:t> </w:t>
      </w:r>
      <w:r>
        <w:rPr>
          <w:sz w:val="24"/>
        </w:rPr>
        <w:t>humanos.</w:t>
      </w:r>
    </w:p>
    <w:p>
      <w:pPr>
        <w:spacing w:after="0" w:line="276" w:lineRule="auto"/>
        <w:jc w:val="both"/>
        <w:rPr>
          <w:sz w:val="24"/>
        </w:rPr>
        <w:sectPr>
          <w:headerReference w:type="default" r:id="rId5"/>
          <w:footerReference w:type="default" r:id="rId6"/>
          <w:type w:val="continuous"/>
          <w:pgSz w:w="11910" w:h="16840"/>
          <w:pgMar w:header="708" w:footer="943" w:top="2260" w:bottom="1140" w:left="760" w:right="780"/>
          <w:pgNumType w:start="1"/>
        </w:sectPr>
      </w:pPr>
    </w:p>
    <w:p>
      <w:pPr>
        <w:pStyle w:val="BodyText"/>
        <w:spacing w:before="7"/>
        <w:ind w:left="0"/>
        <w:rPr>
          <w:sz w:val="17"/>
        </w:rPr>
      </w:pPr>
    </w:p>
    <w:p>
      <w:pPr>
        <w:pStyle w:val="ListParagraph"/>
        <w:numPr>
          <w:ilvl w:val="0"/>
          <w:numId w:val="1"/>
        </w:numPr>
        <w:tabs>
          <w:tab w:pos="943" w:val="left" w:leader="none"/>
        </w:tabs>
        <w:spacing w:line="276" w:lineRule="auto" w:before="100" w:after="0"/>
        <w:ind w:left="954" w:right="209" w:hanging="360"/>
        <w:jc w:val="both"/>
        <w:rPr>
          <w:sz w:val="24"/>
        </w:rPr>
      </w:pPr>
      <w:r>
        <w:rPr>
          <w:sz w:val="24"/>
        </w:rPr>
        <w:t>O Poder Público informa que o diálogo permanece aberto, inclusive no que se refere à não realização de Conferência, mas de diálogos regionais, desde que seja fruto de decisão do</w:t>
      </w:r>
      <w:r>
        <w:rPr>
          <w:spacing w:val="-4"/>
          <w:sz w:val="24"/>
        </w:rPr>
        <w:t> </w:t>
      </w:r>
      <w:r>
        <w:rPr>
          <w:sz w:val="24"/>
        </w:rPr>
        <w:t>Conselho.</w:t>
      </w:r>
    </w:p>
    <w:p>
      <w:pPr>
        <w:pStyle w:val="ListParagraph"/>
        <w:numPr>
          <w:ilvl w:val="0"/>
          <w:numId w:val="1"/>
        </w:numPr>
        <w:tabs>
          <w:tab w:pos="943" w:val="left" w:leader="none"/>
        </w:tabs>
        <w:spacing w:line="276" w:lineRule="auto" w:before="0" w:after="0"/>
        <w:ind w:left="954" w:right="206" w:hanging="360"/>
        <w:jc w:val="both"/>
        <w:rPr>
          <w:sz w:val="24"/>
        </w:rPr>
      </w:pPr>
      <w:r>
        <w:rPr>
          <w:sz w:val="24"/>
        </w:rPr>
        <w:t>Representante da SMADS questiona a convocação da reunião, a baixa adesão de presença dos Conselheiros, tanto da Sociedade Civil como do Governo. Além disso, ele diz que os objetivos e deliberações das reuniões não deixam muito nítido o seu</w:t>
      </w:r>
      <w:r>
        <w:rPr>
          <w:spacing w:val="-23"/>
          <w:sz w:val="24"/>
        </w:rPr>
        <w:t> </w:t>
      </w:r>
      <w:r>
        <w:rPr>
          <w:sz w:val="24"/>
        </w:rPr>
        <w:t>papel.</w:t>
      </w:r>
    </w:p>
    <w:p>
      <w:pPr>
        <w:pStyle w:val="ListParagraph"/>
        <w:numPr>
          <w:ilvl w:val="0"/>
          <w:numId w:val="1"/>
        </w:numPr>
        <w:tabs>
          <w:tab w:pos="943" w:val="left" w:leader="none"/>
        </w:tabs>
        <w:spacing w:line="276" w:lineRule="auto" w:before="1" w:after="0"/>
        <w:ind w:left="954" w:right="207" w:hanging="360"/>
        <w:jc w:val="both"/>
        <w:rPr>
          <w:sz w:val="24"/>
        </w:rPr>
      </w:pPr>
      <w:r>
        <w:rPr>
          <w:sz w:val="24"/>
        </w:rPr>
        <w:t>Um representante da sociedade civil responde que a posse dos Conselheiros atrasou. Além disso, o diálogo com o Governo foi prejudicado considerando a constante mudança das representações governamentais. Ele continua dizendo que não tem como dialogar com o governo, que é assassino, que é repressor e que não tem condições de abrir um diálogo real pela Juventude e por uma conferência que realmente atenda a</w:t>
      </w:r>
      <w:r>
        <w:rPr>
          <w:spacing w:val="-2"/>
          <w:sz w:val="24"/>
        </w:rPr>
        <w:t> </w:t>
      </w:r>
      <w:r>
        <w:rPr>
          <w:sz w:val="24"/>
        </w:rPr>
        <w:t>Juventude.</w:t>
      </w:r>
    </w:p>
    <w:p>
      <w:pPr>
        <w:pStyle w:val="ListParagraph"/>
        <w:numPr>
          <w:ilvl w:val="0"/>
          <w:numId w:val="1"/>
        </w:numPr>
        <w:tabs>
          <w:tab w:pos="943" w:val="left" w:leader="none"/>
        </w:tabs>
        <w:spacing w:line="276" w:lineRule="auto" w:before="0" w:after="0"/>
        <w:ind w:left="954" w:right="211" w:hanging="360"/>
        <w:jc w:val="both"/>
        <w:rPr>
          <w:sz w:val="24"/>
        </w:rPr>
      </w:pPr>
      <w:r>
        <w:rPr>
          <w:sz w:val="24"/>
        </w:rPr>
        <w:t>Um representante do Governo relata que a morosidade de decisões não pode imputar falta de ação por parte do</w:t>
      </w:r>
      <w:r>
        <w:rPr>
          <w:spacing w:val="-2"/>
          <w:sz w:val="24"/>
        </w:rPr>
        <w:t> </w:t>
      </w:r>
      <w:r>
        <w:rPr>
          <w:sz w:val="24"/>
        </w:rPr>
        <w:t>Conselho.</w:t>
      </w:r>
    </w:p>
    <w:p>
      <w:pPr>
        <w:pStyle w:val="ListParagraph"/>
        <w:numPr>
          <w:ilvl w:val="0"/>
          <w:numId w:val="1"/>
        </w:numPr>
        <w:tabs>
          <w:tab w:pos="943" w:val="left" w:leader="none"/>
        </w:tabs>
        <w:spacing w:line="276" w:lineRule="auto" w:before="0" w:after="0"/>
        <w:ind w:left="954" w:right="206" w:hanging="360"/>
        <w:jc w:val="both"/>
        <w:rPr>
          <w:sz w:val="24"/>
        </w:rPr>
      </w:pPr>
      <w:r>
        <w:rPr>
          <w:sz w:val="24"/>
        </w:rPr>
        <w:t>Na ausência de manifestações contrárias, as pessoas integrantes do Conselho ali presentes concordaram pela realização de diálogos regionais, ao invés de Conferência autônoma. Os Conselheiros decidem que todos os temas serão tratados em todas as localidades, promovendo a diversidade em todos os locais. Destacou-se a necessidade de se garantir a devida estrutura a tais encontros, embora sejam menos robustos do que o formato de</w:t>
      </w:r>
      <w:r>
        <w:rPr>
          <w:spacing w:val="-4"/>
          <w:sz w:val="24"/>
        </w:rPr>
        <w:t> </w:t>
      </w:r>
      <w:r>
        <w:rPr>
          <w:sz w:val="24"/>
        </w:rPr>
        <w:t>conferência.</w:t>
      </w:r>
    </w:p>
    <w:p>
      <w:pPr>
        <w:pStyle w:val="ListParagraph"/>
        <w:numPr>
          <w:ilvl w:val="0"/>
          <w:numId w:val="1"/>
        </w:numPr>
        <w:tabs>
          <w:tab w:pos="943" w:val="left" w:leader="none"/>
        </w:tabs>
        <w:spacing w:line="276" w:lineRule="auto" w:before="0" w:after="0"/>
        <w:ind w:left="954" w:right="204" w:hanging="360"/>
        <w:jc w:val="both"/>
        <w:rPr>
          <w:sz w:val="24"/>
        </w:rPr>
      </w:pPr>
      <w:r>
        <w:rPr>
          <w:sz w:val="24"/>
        </w:rPr>
        <w:t>Indicou-se, também, a realização de uma etapa geral, que dialogue com os encontros regionais, sendo essa de livre participação e sem, necessariamente, ser constituída de uma delegação. Uma representante da Sociedade Civil diz que a data desse encontro mais amplo poderá ser em julho, estando o procedimento de escolha dos novos Conselheiros para agosto. Os diálogos regionais começariam na segunda quinzena de maio, tendo como uma de suas funções a conscientização da juventude paulistana sobre a importância de participar do processo</w:t>
      </w:r>
      <w:r>
        <w:rPr>
          <w:spacing w:val="-4"/>
          <w:sz w:val="24"/>
        </w:rPr>
        <w:t> </w:t>
      </w:r>
      <w:r>
        <w:rPr>
          <w:sz w:val="24"/>
        </w:rPr>
        <w:t>eleitoral.</w:t>
      </w:r>
    </w:p>
    <w:p>
      <w:pPr>
        <w:pStyle w:val="ListParagraph"/>
        <w:numPr>
          <w:ilvl w:val="0"/>
          <w:numId w:val="1"/>
        </w:numPr>
        <w:tabs>
          <w:tab w:pos="943" w:val="left" w:leader="none"/>
        </w:tabs>
        <w:spacing w:line="276" w:lineRule="auto" w:before="0" w:after="0"/>
        <w:ind w:left="954" w:right="205" w:hanging="360"/>
        <w:jc w:val="both"/>
        <w:rPr>
          <w:sz w:val="24"/>
        </w:rPr>
      </w:pPr>
      <w:r>
        <w:rPr>
          <w:sz w:val="24"/>
        </w:rPr>
        <w:t>O representante da SMDHC sugere o início dos diálogos para o mês de</w:t>
      </w:r>
      <w:r>
        <w:rPr>
          <w:spacing w:val="45"/>
          <w:sz w:val="24"/>
        </w:rPr>
        <w:t> </w:t>
      </w:r>
      <w:r>
        <w:rPr>
          <w:sz w:val="24"/>
        </w:rPr>
        <w:t>junho, garantindo o efetivo planejamento das</w:t>
      </w:r>
      <w:r>
        <w:rPr>
          <w:spacing w:val="-5"/>
          <w:sz w:val="24"/>
        </w:rPr>
        <w:t> </w:t>
      </w:r>
      <w:r>
        <w:rPr>
          <w:sz w:val="24"/>
        </w:rPr>
        <w:t>ações.</w:t>
      </w:r>
    </w:p>
    <w:p>
      <w:pPr>
        <w:pStyle w:val="ListParagraph"/>
        <w:numPr>
          <w:ilvl w:val="0"/>
          <w:numId w:val="1"/>
        </w:numPr>
        <w:tabs>
          <w:tab w:pos="943" w:val="left" w:leader="none"/>
        </w:tabs>
        <w:spacing w:line="276" w:lineRule="auto" w:before="0" w:after="0"/>
        <w:ind w:left="954" w:right="208" w:hanging="360"/>
        <w:jc w:val="both"/>
        <w:rPr>
          <w:sz w:val="24"/>
        </w:rPr>
      </w:pPr>
      <w:r>
        <w:rPr>
          <w:sz w:val="24"/>
        </w:rPr>
        <w:t>Por fim, foram eleitos dois representantes do Conselho para composição do Comitê Gestor do Plano Juventude Viva, previsto no Decreto nº 54.511/13, quais sejam: Vanessa Correia, titular, e Dyego Rafael Barbosa,</w:t>
      </w:r>
      <w:r>
        <w:rPr>
          <w:spacing w:val="-10"/>
          <w:sz w:val="24"/>
        </w:rPr>
        <w:t> </w:t>
      </w:r>
      <w:r>
        <w:rPr>
          <w:sz w:val="24"/>
        </w:rPr>
        <w:t>suplente.</w:t>
      </w:r>
    </w:p>
    <w:p>
      <w:pPr>
        <w:pStyle w:val="ListParagraph"/>
        <w:numPr>
          <w:ilvl w:val="0"/>
          <w:numId w:val="1"/>
        </w:numPr>
        <w:tabs>
          <w:tab w:pos="943" w:val="left" w:leader="none"/>
        </w:tabs>
        <w:spacing w:line="240" w:lineRule="auto" w:before="1" w:after="0"/>
        <w:ind w:left="954" w:right="0" w:hanging="360"/>
        <w:jc w:val="left"/>
        <w:rPr>
          <w:sz w:val="24"/>
        </w:rPr>
      </w:pPr>
      <w:r>
        <w:rPr>
          <w:sz w:val="24"/>
        </w:rPr>
        <w:t>A reunião seguinte ficou agendada para 18/04/2018, às</w:t>
      </w:r>
      <w:r>
        <w:rPr>
          <w:spacing w:val="-8"/>
          <w:sz w:val="24"/>
        </w:rPr>
        <w:t> </w:t>
      </w:r>
      <w:r>
        <w:rPr>
          <w:sz w:val="24"/>
        </w:rPr>
        <w:t>19h.</w:t>
      </w:r>
    </w:p>
    <w:sectPr>
      <w:pgSz w:w="11910" w:h="16840"/>
      <w:pgMar w:header="708" w:footer="943" w:top="2260" w:bottom="1140" w:left="7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537.880005pt;margin-top:783.794617pt;width:10.050pt;height:15.35pt;mso-position-horizontal-relative:page;mso-position-vertical-relative:page;z-index:-3832" type="#_x0000_t202" filled="false" stroked="false">
          <v:textbox inset="0,0,0,0">
            <w:txbxContent>
              <w:p>
                <w:pPr>
                  <w:spacing w:before="21"/>
                  <w:ind w:left="40" w:right="0" w:firstLine="0"/>
                  <w:jc w:val="left"/>
                  <w:rPr>
                    <w:sz w:val="22"/>
                  </w:rPr>
                </w:pPr>
                <w:r>
                  <w:rPr/>
                  <w:fldChar w:fldCharType="begin"/>
                </w:r>
                <w:r>
                  <w:rPr>
                    <w:w w:val="100"/>
                    <w:sz w:val="22"/>
                  </w:rPr>
                  <w:instrText> PAGE </w:instrText>
                </w:r>
                <w:r>
                  <w:rPr/>
                  <w:fldChar w:fldCharType="separate"/>
                </w:r>
                <w:r>
                  <w:rPr/>
                  <w:t>1</w:t>
                </w:r>
                <w:r>
                  <w:rPr/>
                  <w:fldChar w:fldCharType="end"/>
                </w:r>
              </w:p>
            </w:txbxContent>
          </v:textbox>
          <w10:wrap type="none"/>
        </v:shape>
      </w:pict>
    </w:r>
    <w:r>
      <w:rPr/>
      <w:pict>
        <v:shape style="position:absolute;margin-left:63.104pt;margin-top:797.116577pt;width:469.15pt;height:10.45pt;mso-position-horizontal-relative:page;mso-position-vertical-relative:page;z-index:-3808" type="#_x0000_t202" filled="false" stroked="false">
          <v:textbox inset="0,0,0,0">
            <w:txbxContent>
              <w:p>
                <w:pPr>
                  <w:spacing w:before="19"/>
                  <w:ind w:left="20" w:right="0" w:firstLine="0"/>
                  <w:jc w:val="left"/>
                  <w:rPr>
                    <w:b/>
                    <w:sz w:val="14"/>
                  </w:rPr>
                </w:pPr>
                <w:r>
                  <w:rPr>
                    <w:b/>
                    <w:sz w:val="14"/>
                  </w:rPr>
                  <w:t>Rua Líbero Badaró, 119, 7º andar – Centro – CEP 01009-000 – São Paulo - Tel.: (11) 3113-8970/9621/9625/9630/9632/9634/9635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drawing>
        <wp:anchor distT="0" distB="0" distL="0" distR="0" allowOverlap="1" layoutInCell="1" locked="0" behindDoc="1" simplePos="0" relativeHeight="268431575">
          <wp:simplePos x="0" y="0"/>
          <wp:positionH relativeFrom="page">
            <wp:posOffset>723900</wp:posOffset>
          </wp:positionH>
          <wp:positionV relativeFrom="page">
            <wp:posOffset>449579</wp:posOffset>
          </wp:positionV>
          <wp:extent cx="1257300" cy="99060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57300" cy="99060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171.220001pt;margin-top:79.164749pt;width:285.4pt;height:25.8pt;mso-position-horizontal-relative:page;mso-position-vertical-relative:page;z-index:-3856" type="#_x0000_t202" filled="false" stroked="false">
          <v:textbox inset="0,0,0,0">
            <w:txbxContent>
              <w:p>
                <w:pPr>
                  <w:spacing w:before="43"/>
                  <w:ind w:left="20" w:right="0" w:firstLine="0"/>
                  <w:jc w:val="left"/>
                  <w:rPr>
                    <w:rFonts w:ascii="Arial"/>
                    <w:b/>
                    <w:sz w:val="18"/>
                  </w:rPr>
                </w:pPr>
                <w:r>
                  <w:rPr>
                    <w:rFonts w:ascii="Arial"/>
                    <w:b/>
                    <w:sz w:val="18"/>
                  </w:rPr>
                  <w:t>SECRETARIA MUNICIPAL DE DIREITOS HUMANOS E CIDADANIA</w:t>
                </w:r>
              </w:p>
              <w:p>
                <w:pPr>
                  <w:spacing w:before="31"/>
                  <w:ind w:left="20" w:right="0" w:firstLine="0"/>
                  <w:jc w:val="left"/>
                  <w:rPr>
                    <w:rFonts w:ascii="Trebuchet MS" w:hAnsi="Trebuchet MS"/>
                    <w:b/>
                    <w:sz w:val="18"/>
                  </w:rPr>
                </w:pPr>
                <w:r>
                  <w:rPr>
                    <w:rFonts w:ascii="Trebuchet MS" w:hAnsi="Trebuchet MS"/>
                    <w:b/>
                    <w:sz w:val="18"/>
                  </w:rPr>
                  <w:t>Coordenação de Políticas para a Juventude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954" w:hanging="348"/>
        <w:jc w:val="left"/>
      </w:pPr>
      <w:rPr>
        <w:rFonts w:hint="default" w:ascii="Tahoma" w:hAnsi="Tahoma" w:eastAsia="Tahoma" w:cs="Tahoma"/>
        <w:spacing w:val="-1"/>
        <w:w w:val="100"/>
        <w:sz w:val="22"/>
        <w:szCs w:val="22"/>
        <w:lang w:val="en-us" w:eastAsia="en-us" w:bidi="en-us"/>
      </w:rPr>
    </w:lvl>
    <w:lvl w:ilvl="1">
      <w:start w:val="0"/>
      <w:numFmt w:val="bullet"/>
      <w:lvlText w:val="•"/>
      <w:lvlJc w:val="left"/>
      <w:pPr>
        <w:ind w:left="1900" w:hanging="348"/>
      </w:pPr>
      <w:rPr>
        <w:rFonts w:hint="default"/>
        <w:lang w:val="en-us" w:eastAsia="en-us" w:bidi="en-us"/>
      </w:rPr>
    </w:lvl>
    <w:lvl w:ilvl="2">
      <w:start w:val="0"/>
      <w:numFmt w:val="bullet"/>
      <w:lvlText w:val="•"/>
      <w:lvlJc w:val="left"/>
      <w:pPr>
        <w:ind w:left="2841" w:hanging="348"/>
      </w:pPr>
      <w:rPr>
        <w:rFonts w:hint="default"/>
        <w:lang w:val="en-us" w:eastAsia="en-us" w:bidi="en-us"/>
      </w:rPr>
    </w:lvl>
    <w:lvl w:ilvl="3">
      <w:start w:val="0"/>
      <w:numFmt w:val="bullet"/>
      <w:lvlText w:val="•"/>
      <w:lvlJc w:val="left"/>
      <w:pPr>
        <w:ind w:left="3781" w:hanging="348"/>
      </w:pPr>
      <w:rPr>
        <w:rFonts w:hint="default"/>
        <w:lang w:val="en-us" w:eastAsia="en-us" w:bidi="en-us"/>
      </w:rPr>
    </w:lvl>
    <w:lvl w:ilvl="4">
      <w:start w:val="0"/>
      <w:numFmt w:val="bullet"/>
      <w:lvlText w:val="•"/>
      <w:lvlJc w:val="left"/>
      <w:pPr>
        <w:ind w:left="4722" w:hanging="348"/>
      </w:pPr>
      <w:rPr>
        <w:rFonts w:hint="default"/>
        <w:lang w:val="en-us" w:eastAsia="en-us" w:bidi="en-us"/>
      </w:rPr>
    </w:lvl>
    <w:lvl w:ilvl="5">
      <w:start w:val="0"/>
      <w:numFmt w:val="bullet"/>
      <w:lvlText w:val="•"/>
      <w:lvlJc w:val="left"/>
      <w:pPr>
        <w:ind w:left="5663" w:hanging="348"/>
      </w:pPr>
      <w:rPr>
        <w:rFonts w:hint="default"/>
        <w:lang w:val="en-us" w:eastAsia="en-us" w:bidi="en-us"/>
      </w:rPr>
    </w:lvl>
    <w:lvl w:ilvl="6">
      <w:start w:val="0"/>
      <w:numFmt w:val="bullet"/>
      <w:lvlText w:val="•"/>
      <w:lvlJc w:val="left"/>
      <w:pPr>
        <w:ind w:left="6603" w:hanging="348"/>
      </w:pPr>
      <w:rPr>
        <w:rFonts w:hint="default"/>
        <w:lang w:val="en-us" w:eastAsia="en-us" w:bidi="en-us"/>
      </w:rPr>
    </w:lvl>
    <w:lvl w:ilvl="7">
      <w:start w:val="0"/>
      <w:numFmt w:val="bullet"/>
      <w:lvlText w:val="•"/>
      <w:lvlJc w:val="left"/>
      <w:pPr>
        <w:ind w:left="7544" w:hanging="348"/>
      </w:pPr>
      <w:rPr>
        <w:rFonts w:hint="default"/>
        <w:lang w:val="en-us" w:eastAsia="en-us" w:bidi="en-us"/>
      </w:rPr>
    </w:lvl>
    <w:lvl w:ilvl="8">
      <w:start w:val="0"/>
      <w:numFmt w:val="bullet"/>
      <w:lvlText w:val="•"/>
      <w:lvlJc w:val="left"/>
      <w:pPr>
        <w:ind w:left="8485" w:hanging="34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lang w:val="en-us" w:eastAsia="en-us" w:bidi="en-us"/>
    </w:rPr>
  </w:style>
  <w:style w:styleId="BodyText" w:type="paragraph">
    <w:name w:val="Body Text"/>
    <w:basedOn w:val="Normal"/>
    <w:uiPriority w:val="1"/>
    <w:qFormat/>
    <w:pPr>
      <w:ind w:left="954"/>
    </w:pPr>
    <w:rPr>
      <w:rFonts w:ascii="Tahoma" w:hAnsi="Tahoma" w:eastAsia="Tahoma" w:cs="Tahoma"/>
      <w:sz w:val="24"/>
      <w:szCs w:val="24"/>
      <w:lang w:val="en-us" w:eastAsia="en-us" w:bidi="en-us"/>
    </w:rPr>
  </w:style>
  <w:style w:styleId="ListParagraph" w:type="paragraph">
    <w:name w:val="List Paragraph"/>
    <w:basedOn w:val="Normal"/>
    <w:uiPriority w:val="1"/>
    <w:qFormat/>
    <w:pPr>
      <w:ind w:left="954" w:right="206" w:hanging="360"/>
      <w:jc w:val="both"/>
    </w:pPr>
    <w:rPr>
      <w:rFonts w:ascii="Tahoma" w:hAnsi="Tahoma" w:eastAsia="Tahoma" w:cs="Tahoma"/>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Rafaella Fontana Ferreira</dc:creator>
  <dc:title>REGISTRO DE ATIVIDADE</dc:title>
  <dcterms:created xsi:type="dcterms:W3CDTF">2018-04-06T20:04:02Z</dcterms:created>
  <dcterms:modified xsi:type="dcterms:W3CDTF">2018-04-06T20:04:02Z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2018-04-05T00:00:00Z</vt:filetime>
  </property>
  <property fmtid="{D5CDD505-2E9C-101B-9397-08002B2CF9AE}" pid="3" name="Creator">
    <vt:lpwstr>www.convertapi.com</vt:lpwstr>
  </property>
  <property fmtid="{D5CDD505-2E9C-101B-9397-08002B2CF9AE}" pid="4" name="LastSaved">
    <vt:filetime>2018-04-06T00:00:00Z</vt:filetime>
  </property>
</Properties>
</file>