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A6" w:rsidRDefault="00FB1DA6" w:rsidP="00FB1DA6">
      <w:pPr>
        <w:rPr>
          <w:rFonts w:cs="Arial"/>
          <w:b/>
          <w:szCs w:val="22"/>
        </w:rPr>
      </w:pPr>
      <w:r>
        <w:rPr>
          <w:rFonts w:ascii="Futura Md BT" w:hAnsi="Futura Md BT"/>
          <w:noProof/>
          <w:lang w:val="pt-BR"/>
        </w:rPr>
        <mc:AlternateContent>
          <mc:Choice Requires="wps">
            <w:drawing>
              <wp:anchor distT="0" distB="0" distL="114300" distR="114300" simplePos="0" relativeHeight="251659264" behindDoc="0" locked="0" layoutInCell="1" allowOverlap="1" wp14:anchorId="7BC51861" wp14:editId="53453C7F">
                <wp:simplePos x="0" y="0"/>
                <wp:positionH relativeFrom="column">
                  <wp:posOffset>2232025</wp:posOffset>
                </wp:positionH>
                <wp:positionV relativeFrom="paragraph">
                  <wp:posOffset>176530</wp:posOffset>
                </wp:positionV>
                <wp:extent cx="4017645"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25E" w:rsidRPr="00FB1DA6" w:rsidRDefault="003D625E"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3D625E" w:rsidRPr="00FB1DA6" w:rsidRDefault="003D625E" w:rsidP="00FB1DA6">
                            <w:pPr>
                              <w:spacing w:line="276" w:lineRule="auto"/>
                              <w:rPr>
                                <w:rFonts w:asciiTheme="minorHAnsi" w:hAnsiTheme="minorHAnsi" w:cs="Tahoma"/>
                                <w:sz w:val="18"/>
                                <w:lang w:val="pt-BR"/>
                              </w:rPr>
                            </w:pPr>
                            <w:r w:rsidRPr="00FB1DA6">
                              <w:rPr>
                                <w:rFonts w:ascii="Tahoma" w:hAnsi="Tahoma" w:cs="Tahoma"/>
                                <w:lang w:val="pt-BR"/>
                              </w:rPr>
                              <w:t>Divisão de Suporte Interno / Divisão de Suprimentos</w:t>
                            </w:r>
                          </w:p>
                          <w:p w:rsidR="003D625E" w:rsidRPr="00FB1DA6" w:rsidRDefault="003D625E" w:rsidP="00FB1DA6">
                            <w:pPr>
                              <w:spacing w:line="276" w:lineRule="auto"/>
                              <w:rPr>
                                <w:rFonts w:ascii="Tahoma" w:hAnsi="Tahoma" w:cs="Tahoma"/>
                                <w:b/>
                                <w:color w:val="FF0000"/>
                                <w:lang w:val="pt-BR"/>
                              </w:rPr>
                            </w:pPr>
                          </w:p>
                          <w:p w:rsidR="003D625E" w:rsidRPr="00FB1DA6" w:rsidRDefault="003D625E" w:rsidP="00FB1DA6">
                            <w:pPr>
                              <w:spacing w:line="276" w:lineRule="auto"/>
                              <w:rPr>
                                <w:rFonts w:ascii="Calibri" w:hAnsi="Calibri"/>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75pt;margin-top:13.9pt;width:316.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Vv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" filled="f" stroked="f">
                <v:textbox>
                  <w:txbxContent>
                    <w:p w:rsidR="003D625E" w:rsidRPr="00FB1DA6" w:rsidRDefault="003D625E"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3D625E" w:rsidRPr="00FB1DA6" w:rsidRDefault="003D625E" w:rsidP="00FB1DA6">
                      <w:pPr>
                        <w:spacing w:line="276" w:lineRule="auto"/>
                        <w:rPr>
                          <w:rFonts w:asciiTheme="minorHAnsi" w:hAnsiTheme="minorHAnsi" w:cs="Tahoma"/>
                          <w:sz w:val="18"/>
                          <w:lang w:val="pt-BR"/>
                        </w:rPr>
                      </w:pPr>
                      <w:r w:rsidRPr="00FB1DA6">
                        <w:rPr>
                          <w:rFonts w:ascii="Tahoma" w:hAnsi="Tahoma" w:cs="Tahoma"/>
                          <w:lang w:val="pt-BR"/>
                        </w:rPr>
                        <w:t>Divisão de Suporte Interno / Divisão de Suprimentos</w:t>
                      </w:r>
                    </w:p>
                    <w:p w:rsidR="003D625E" w:rsidRPr="00FB1DA6" w:rsidRDefault="003D625E" w:rsidP="00FB1DA6">
                      <w:pPr>
                        <w:spacing w:line="276" w:lineRule="auto"/>
                        <w:rPr>
                          <w:rFonts w:ascii="Tahoma" w:hAnsi="Tahoma" w:cs="Tahoma"/>
                          <w:b/>
                          <w:color w:val="FF0000"/>
                          <w:lang w:val="pt-BR"/>
                        </w:rPr>
                      </w:pPr>
                    </w:p>
                    <w:p w:rsidR="003D625E" w:rsidRPr="00FB1DA6" w:rsidRDefault="003D625E" w:rsidP="00FB1DA6">
                      <w:pPr>
                        <w:spacing w:line="276" w:lineRule="auto"/>
                        <w:rPr>
                          <w:rFonts w:ascii="Calibri" w:hAnsi="Calibri"/>
                          <w:lang w:val="pt-BR"/>
                        </w:rPr>
                      </w:pPr>
                    </w:p>
                  </w:txbxContent>
                </v:textbox>
              </v:shape>
            </w:pict>
          </mc:Fallback>
        </mc:AlternateContent>
      </w:r>
      <w:r>
        <w:rPr>
          <w:rFonts w:ascii="Futura Md BT" w:hAnsi="Futura Md BT"/>
          <w:noProof/>
          <w:lang w:val="pt-BR"/>
        </w:rPr>
        <mc:AlternateContent>
          <mc:Choice Requires="wps">
            <w:drawing>
              <wp:anchor distT="0" distB="0" distL="114297" distR="114297" simplePos="0" relativeHeight="251660288" behindDoc="0" locked="0" layoutInCell="1" allowOverlap="1" wp14:anchorId="222EA656" wp14:editId="72AFEEA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lang w:val="pt-BR"/>
        </w:rPr>
        <w:drawing>
          <wp:inline distT="0" distB="0" distL="0" distR="0" wp14:anchorId="62648750" wp14:editId="45A7FCE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A40698" w:rsidP="00FB1DA6">
      <w:pPr>
        <w:pStyle w:val="Cabealho"/>
        <w:rPr>
          <w:rFonts w:ascii="Times New Roman" w:hAnsi="Times New Roman"/>
        </w:rPr>
      </w:pPr>
      <w:r>
        <w:rPr>
          <w:rFonts w:ascii="Times New Roman" w:hAnsi="Times New Roman"/>
          <w:b/>
        </w:rPr>
        <w:t>Processo Eletrônico nº 6019.2018</w:t>
      </w:r>
      <w:r w:rsidR="00FB1DA6" w:rsidRPr="00FB1DA6">
        <w:rPr>
          <w:rFonts w:ascii="Times New Roman" w:hAnsi="Times New Roman"/>
          <w:b/>
        </w:rPr>
        <w:t>/000</w:t>
      </w:r>
      <w:r>
        <w:rPr>
          <w:rFonts w:ascii="Times New Roman" w:hAnsi="Times New Roman"/>
          <w:b/>
        </w:rPr>
        <w:t>0609-8</w:t>
      </w:r>
      <w:r w:rsidR="00FB1DA6" w:rsidRPr="00FB1DA6">
        <w:rPr>
          <w:rFonts w:ascii="Times New Roman" w:hAnsi="Times New Roman"/>
          <w:b/>
        </w:rPr>
        <w:t xml:space="preserve">                                                 </w:t>
      </w:r>
      <w:r w:rsidR="001D3DD0">
        <w:rPr>
          <w:rFonts w:ascii="Times New Roman" w:hAnsi="Times New Roman"/>
          <w:b/>
        </w:rPr>
        <w:t xml:space="preserve">                   </w:t>
      </w:r>
      <w:r w:rsidR="00FB1DA6" w:rsidRPr="00FB1DA6">
        <w:rPr>
          <w:rFonts w:ascii="Times New Roman" w:hAnsi="Times New Roman"/>
          <w:b/>
        </w:rPr>
        <w:t xml:space="preserve">  </w:t>
      </w:r>
      <w:r>
        <w:rPr>
          <w:rFonts w:ascii="Times New Roman" w:hAnsi="Times New Roman"/>
          <w:b/>
        </w:rPr>
        <w:t>03.04.2018</w:t>
      </w:r>
    </w:p>
    <w:p w:rsidR="00FB1DA6" w:rsidRPr="00FB1DA6" w:rsidRDefault="00FB1DA6" w:rsidP="00FB1DA6">
      <w:pPr>
        <w:rPr>
          <w:lang w:val="pt-BR"/>
        </w:rPr>
      </w:pPr>
    </w:p>
    <w:p w:rsidR="00FB1DA6" w:rsidRPr="00FB1DA6" w:rsidRDefault="00FB1DA6" w:rsidP="00FB1DA6">
      <w:pPr>
        <w:spacing w:line="0" w:lineRule="atLeast"/>
        <w:rPr>
          <w:b/>
          <w:lang w:val="pt-BR"/>
        </w:rPr>
      </w:pPr>
    </w:p>
    <w:p w:rsidR="00FB1DA6" w:rsidRPr="00FB1DA6" w:rsidRDefault="00FB1DA6" w:rsidP="00FB1DA6">
      <w:pPr>
        <w:spacing w:line="0" w:lineRule="atLeast"/>
        <w:rPr>
          <w:b/>
          <w:lang w:val="pt-BR"/>
        </w:rPr>
      </w:pPr>
    </w:p>
    <w:p w:rsidR="00FB1DA6" w:rsidRPr="00A40698" w:rsidRDefault="00FB1DA6" w:rsidP="00A40698">
      <w:pPr>
        <w:spacing w:line="276" w:lineRule="auto"/>
        <w:jc w:val="both"/>
        <w:rPr>
          <w:b/>
          <w:u w:val="single"/>
          <w:lang w:val="pt-BR"/>
        </w:rPr>
      </w:pPr>
      <w:r w:rsidRPr="00FB1DA6">
        <w:rPr>
          <w:b/>
          <w:lang w:val="pt-BR"/>
        </w:rPr>
        <w:t xml:space="preserve">Objeto: Sistema de Registro de Preços para </w:t>
      </w:r>
      <w:r w:rsidR="00A40698" w:rsidRPr="00A40698">
        <w:rPr>
          <w:b/>
          <w:u w:val="single"/>
          <w:lang w:val="pt-BR"/>
        </w:rPr>
        <w:t>Contratação de serviços de gerenciamento de arbitragem</w:t>
      </w:r>
      <w:r w:rsidR="00B510C6">
        <w:rPr>
          <w:b/>
          <w:u w:val="single"/>
          <w:lang w:val="pt-BR"/>
        </w:rPr>
        <w:t xml:space="preserve"> na modalidade Basquete</w:t>
      </w:r>
      <w:bookmarkStart w:id="0" w:name="_GoBack"/>
      <w:bookmarkEnd w:id="0"/>
      <w:r w:rsidR="00A40698" w:rsidRPr="00A40698">
        <w:rPr>
          <w:b/>
          <w:u w:val="single"/>
          <w:lang w:val="pt-BR"/>
        </w:rPr>
        <w:t>, por meio de constituição de sistema de registro de preço, para atender a demanda de eventos esportivos promovidos pela Secretaria Municipal de Esportes e Lazer, pelo Departamento de Gestão de Políticas e Programas de Esporte e Lazer, Centros Esportivos e eventos que tem o apoio institucional da Administração para o fomento da prática desportiva</w:t>
      </w:r>
      <w:r w:rsidR="00A40698">
        <w:rPr>
          <w:b/>
          <w:u w:val="single"/>
          <w:lang w:val="pt-BR"/>
        </w:rPr>
        <w:t>.</w:t>
      </w:r>
    </w:p>
    <w:p w:rsidR="00FB1DA6" w:rsidRPr="00FB1DA6" w:rsidRDefault="00FB1DA6" w:rsidP="00FB1DA6">
      <w:pPr>
        <w:spacing w:line="0" w:lineRule="atLeast"/>
        <w:rPr>
          <w:b/>
          <w:u w:val="single"/>
          <w:lang w:val="pt-BR"/>
        </w:rPr>
      </w:pPr>
    </w:p>
    <w:p w:rsidR="00FB1DA6" w:rsidRPr="00FB1DA6" w:rsidRDefault="00FB1DA6" w:rsidP="00FB1DA6">
      <w:pPr>
        <w:spacing w:line="276" w:lineRule="auto"/>
        <w:rPr>
          <w:lang w:val="pt-BR"/>
        </w:rPr>
      </w:pPr>
      <w:r w:rsidRPr="00FB1DA6">
        <w:rPr>
          <w:lang w:val="pt-BR"/>
        </w:rPr>
        <w:t>Termo de referência do comunicado 00</w:t>
      </w:r>
      <w:r w:rsidR="00A40698">
        <w:rPr>
          <w:lang w:val="pt-BR"/>
        </w:rPr>
        <w:t>2</w:t>
      </w:r>
      <w:r w:rsidRPr="00FB1DA6">
        <w:rPr>
          <w:lang w:val="pt-BR"/>
        </w:rPr>
        <w:t>/SEME-CAF-DS/201</w:t>
      </w:r>
      <w:r w:rsidR="00A40698">
        <w:rPr>
          <w:lang w:val="pt-BR"/>
        </w:rPr>
        <w:t>8</w:t>
      </w:r>
      <w:r w:rsidRPr="00FB1DA6">
        <w:rPr>
          <w:lang w:val="pt-BR"/>
        </w:rPr>
        <w:t>.</w:t>
      </w:r>
    </w:p>
    <w:p w:rsidR="00FB1DA6" w:rsidRPr="00FB1DA6" w:rsidRDefault="00FB1DA6" w:rsidP="00FB1DA6">
      <w:pPr>
        <w:spacing w:line="276" w:lineRule="auto"/>
        <w:rPr>
          <w:lang w:val="pt-BR"/>
        </w:rPr>
      </w:pPr>
    </w:p>
    <w:p w:rsidR="00FB1DA6" w:rsidRDefault="00FB1DA6" w:rsidP="009608B1">
      <w:pPr>
        <w:spacing w:line="276" w:lineRule="auto"/>
        <w:rPr>
          <w:lang w:val="pt-BR"/>
        </w:rPr>
      </w:pPr>
      <w:r w:rsidRPr="00FB1DA6">
        <w:rPr>
          <w:lang w:val="pt-BR"/>
        </w:rPr>
        <w:t xml:space="preserve">Prazo limite para devolução da planilha: </w:t>
      </w:r>
      <w:proofErr w:type="gramStart"/>
      <w:r w:rsidRPr="00FB1DA6">
        <w:rPr>
          <w:lang w:val="pt-BR"/>
        </w:rPr>
        <w:t>5</w:t>
      </w:r>
      <w:proofErr w:type="gramEnd"/>
      <w:r w:rsidRPr="00FB1DA6">
        <w:rPr>
          <w:lang w:val="pt-BR"/>
        </w:rPr>
        <w:t xml:space="preserve"> dias úteis após a publicação no DOC.</w:t>
      </w:r>
    </w:p>
    <w:p w:rsidR="009608B1" w:rsidRDefault="009608B1" w:rsidP="009608B1">
      <w:pPr>
        <w:spacing w:line="276" w:lineRule="auto"/>
        <w:rPr>
          <w:lang w:val="pt-BR"/>
        </w:rPr>
      </w:pPr>
    </w:p>
    <w:p w:rsidR="00A40698" w:rsidRDefault="00A40698" w:rsidP="00A40698">
      <w:pPr>
        <w:rPr>
          <w:lang w:val="pt-BR"/>
        </w:rPr>
      </w:pPr>
    </w:p>
    <w:p w:rsidR="00A40698" w:rsidRPr="00B63652" w:rsidRDefault="00A40698" w:rsidP="00A40698">
      <w:pPr>
        <w:pStyle w:val="centralizadotimbre"/>
        <w:spacing w:before="20" w:beforeAutospacing="0" w:after="20" w:afterAutospacing="0"/>
        <w:ind w:left="20" w:right="20"/>
        <w:jc w:val="center"/>
        <w:rPr>
          <w:color w:val="000000"/>
          <w:sz w:val="28"/>
          <w:szCs w:val="28"/>
        </w:rPr>
      </w:pPr>
      <w:r w:rsidRPr="00B63652">
        <w:rPr>
          <w:rStyle w:val="Forte"/>
          <w:color w:val="000000"/>
          <w:sz w:val="28"/>
          <w:szCs w:val="28"/>
        </w:rPr>
        <w:t>Termo de Referência</w:t>
      </w:r>
    </w:p>
    <w:p w:rsidR="00296A34" w:rsidRDefault="00296A34" w:rsidP="00A40698">
      <w:pPr>
        <w:rPr>
          <w:lang w:val="pt-BR"/>
        </w:rPr>
      </w:pPr>
    </w:p>
    <w:p w:rsidR="00A40698" w:rsidRDefault="00A40698" w:rsidP="00A40698">
      <w:pPr>
        <w:rPr>
          <w:lang w:val="pt-BR"/>
        </w:rPr>
      </w:pPr>
    </w:p>
    <w:tbl>
      <w:tblPr>
        <w:tblW w:w="984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41"/>
      </w:tblGrid>
      <w:tr w:rsidR="001D3DD0" w:rsidRPr="00B510C6" w:rsidTr="001D3DD0">
        <w:trPr>
          <w:tblCellSpacing w:w="15" w:type="dxa"/>
        </w:trPr>
        <w:tc>
          <w:tcPr>
            <w:tcW w:w="9781" w:type="dxa"/>
            <w:tcBorders>
              <w:top w:val="outset" w:sz="6" w:space="0" w:color="auto"/>
              <w:left w:val="outset" w:sz="6" w:space="0" w:color="auto"/>
              <w:bottom w:val="outset" w:sz="6" w:space="0" w:color="auto"/>
              <w:right w:val="outset" w:sz="6" w:space="0" w:color="auto"/>
            </w:tcBorders>
            <w:vAlign w:val="center"/>
          </w:tcPr>
          <w:p w:rsidR="001D3DD0" w:rsidRDefault="001D3DD0" w:rsidP="00A40698">
            <w:pPr>
              <w:pStyle w:val="centralizadotimbresecretaria"/>
              <w:spacing w:before="0" w:beforeAutospacing="0" w:after="0" w:afterAutospacing="0"/>
              <w:jc w:val="center"/>
              <w:rPr>
                <w:rStyle w:val="Forte"/>
                <w:color w:val="000000"/>
              </w:rPr>
            </w:pPr>
          </w:p>
          <w:p w:rsidR="001D3DD0" w:rsidRDefault="001D3DD0" w:rsidP="00A40698">
            <w:pPr>
              <w:pStyle w:val="centralizadotimbresecretaria"/>
              <w:spacing w:before="0" w:beforeAutospacing="0" w:after="0" w:afterAutospacing="0"/>
              <w:jc w:val="center"/>
              <w:rPr>
                <w:rStyle w:val="Forte"/>
                <w:color w:val="000000"/>
              </w:rPr>
            </w:pPr>
          </w:p>
          <w:p w:rsidR="001D3DD0" w:rsidRPr="001D3DD0" w:rsidRDefault="001D3DD0" w:rsidP="00A40698">
            <w:pPr>
              <w:pStyle w:val="centralizadotimbresecretaria"/>
              <w:spacing w:before="0" w:beforeAutospacing="0" w:after="0" w:afterAutospacing="0"/>
              <w:jc w:val="center"/>
              <w:rPr>
                <w:color w:val="000000"/>
              </w:rPr>
            </w:pPr>
            <w:r w:rsidRPr="001D3DD0">
              <w:rPr>
                <w:rStyle w:val="Forte"/>
                <w:color w:val="000000"/>
              </w:rPr>
              <w:t>ANEXO II</w:t>
            </w:r>
          </w:p>
          <w:p w:rsidR="001D3DD0" w:rsidRPr="001D3DD0" w:rsidRDefault="001D3DD0" w:rsidP="00A40698">
            <w:pPr>
              <w:pStyle w:val="centralizadotimbresecretaria"/>
              <w:spacing w:before="0" w:beforeAutospacing="0" w:after="0" w:afterAutospacing="0"/>
              <w:jc w:val="center"/>
              <w:rPr>
                <w:color w:val="000000"/>
              </w:rPr>
            </w:pPr>
            <w:r w:rsidRPr="001D3DD0">
              <w:rPr>
                <w:color w:val="000000"/>
              </w:rPr>
              <w:t> </w:t>
            </w:r>
          </w:p>
          <w:p w:rsidR="001D3DD0" w:rsidRPr="001D3DD0" w:rsidRDefault="001D3DD0" w:rsidP="00A40698">
            <w:pPr>
              <w:pStyle w:val="centralizadotimbresecretaria"/>
              <w:spacing w:before="0" w:beforeAutospacing="0" w:after="0" w:afterAutospacing="0"/>
              <w:jc w:val="center"/>
              <w:rPr>
                <w:color w:val="000000"/>
              </w:rPr>
            </w:pPr>
            <w:r w:rsidRPr="001D3DD0">
              <w:rPr>
                <w:rStyle w:val="Forte"/>
                <w:color w:val="000000"/>
              </w:rPr>
              <w:t>MEMORIAL DESCRITIVO - ESPECIFICAÇÕES TÉCNICAS MÍNIMAS</w:t>
            </w:r>
          </w:p>
          <w:p w:rsidR="001D3DD0" w:rsidRPr="001D3DD0" w:rsidRDefault="001D3DD0" w:rsidP="00A40698">
            <w:pPr>
              <w:pStyle w:val="NormalWeb"/>
              <w:rPr>
                <w:color w:val="000000"/>
              </w:rPr>
            </w:pPr>
            <w:r w:rsidRPr="001D3DD0">
              <w:rPr>
                <w:color w:val="000000"/>
              </w:rPr>
              <w:t> </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rStyle w:val="Forte"/>
                <w:color w:val="000000"/>
                <w:u w:val="single"/>
              </w:rPr>
              <w:t>OBJETIVO</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Contratação de empresa para prestação de serviços de gerenciamento de arbitragem, por meio de constituição de sistema de registro de preço, para atender a demanda de eventos esportivos promovidos pela Secretaria Municipal de Esportes e Lazer, pelo Departamento de Gestão das Políticas e Programas de Esporte e Lazer, Centros Esportivos e eventos que tem o apoio institucional da Administração para o fomento da prática desportiva.</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rStyle w:val="Forte"/>
                <w:color w:val="000000"/>
                <w:u w:val="single"/>
              </w:rPr>
              <w:t>MODALIDADES</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Basquetebol.</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rStyle w:val="Forte"/>
                <w:color w:val="000000"/>
                <w:u w:val="single"/>
              </w:rPr>
              <w:t>CATEGORIAS</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xml:space="preserve">A partir de 09 anos, sendo elas: Sub 11, Sub 13, Sub 15, Sub 17 e Adulto – acima de 17 anos, </w:t>
            </w:r>
            <w:proofErr w:type="gramStart"/>
            <w:r w:rsidRPr="001D3DD0">
              <w:rPr>
                <w:color w:val="000000"/>
              </w:rPr>
              <w:t>nas modalidade</w:t>
            </w:r>
            <w:proofErr w:type="gramEnd"/>
            <w:r w:rsidRPr="001D3DD0">
              <w:rPr>
                <w:color w:val="000000"/>
              </w:rPr>
              <w:t> de Basquetebol todas as categorias nos naipes masculino e feminino.</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rStyle w:val="Forte"/>
                <w:color w:val="000000"/>
                <w:u w:val="single"/>
              </w:rPr>
              <w:t>LOCAIS DE REALIZAÇÃO</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lastRenderedPageBreak/>
              <w:t xml:space="preserve">A serem definidos, oportunamente, nas tabelas de jogos, elaborada pela área técnica e divulgada pelo site  da Secretaria Municipal de Esportes e Lazer, por meio dos “links” próprios, ou por meio de </w:t>
            </w:r>
            <w:proofErr w:type="spellStart"/>
            <w:r w:rsidRPr="001D3DD0">
              <w:rPr>
                <w:color w:val="000000"/>
              </w:rPr>
              <w:t>tabelaa</w:t>
            </w:r>
            <w:proofErr w:type="spellEnd"/>
            <w:r w:rsidRPr="001D3DD0">
              <w:rPr>
                <w:color w:val="000000"/>
              </w:rPr>
              <w:t xml:space="preserve"> enviadas diretamente à Contratante, pela Área Técnica da Pasta, respeitados os limites territoriais do Município de São Paulo, nas áreas abrangidas pelas suas diversas Prefeituras Regionais, compreendendo: </w:t>
            </w:r>
            <w:proofErr w:type="spellStart"/>
            <w:r w:rsidRPr="001D3DD0">
              <w:rPr>
                <w:color w:val="000000"/>
              </w:rPr>
              <w:t>CDCs</w:t>
            </w:r>
            <w:proofErr w:type="spellEnd"/>
            <w:r w:rsidRPr="001D3DD0">
              <w:rPr>
                <w:color w:val="000000"/>
              </w:rPr>
              <w:t xml:space="preserve">, Centros Esportivos e outros equipamentos esportivos municipais (PET, Pacaembu, </w:t>
            </w:r>
            <w:proofErr w:type="spellStart"/>
            <w:r w:rsidRPr="001D3DD0">
              <w:rPr>
                <w:color w:val="000000"/>
              </w:rPr>
              <w:t>etc</w:t>
            </w:r>
            <w:proofErr w:type="spellEnd"/>
            <w:r w:rsidRPr="001D3DD0">
              <w:rPr>
                <w:color w:val="000000"/>
              </w:rPr>
              <w:t xml:space="preserve">), Clubes particulares, </w:t>
            </w:r>
            <w:proofErr w:type="spellStart"/>
            <w:r w:rsidRPr="001D3DD0">
              <w:rPr>
                <w:color w:val="000000"/>
              </w:rPr>
              <w:t>CEUs</w:t>
            </w:r>
            <w:proofErr w:type="spellEnd"/>
            <w:r w:rsidRPr="001D3DD0">
              <w:rPr>
                <w:color w:val="000000"/>
              </w:rPr>
              <w:t>, Escolas Estaduais e ou Municipais e outras entidades esportivas ou de recreação (agremiações, associações desportivas) Parques Estaduais e Municipais.</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rStyle w:val="Forte"/>
                <w:color w:val="000000"/>
                <w:u w:val="single"/>
              </w:rPr>
              <w:t>PRAZO DE EXECUÇÃO</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A execução dos serviços decorrentes da Ata de Registro de Preços será de acordo com os prazos de cada evento/campeonato específico, conforme cronograma estimado no quadro abaixo (Anexo VI), de abril de 2018 a março de 2019, mediante expedição de Ordem de Início e o cronograma poderá sofrer alteração da previsão inicial a critério da Administração.</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rStyle w:val="Forte"/>
                <w:color w:val="000000"/>
                <w:u w:val="single"/>
              </w:rPr>
              <w:t>DESCRIÇÃO MÍNIMA DOS SERVIÇOS E CRONOGRAMA ESTIMADO DE UTILIZAÇÃO</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Os serviços a serem prestados de administração, acompanhamento e apresentação de relatórios dos serviços de arbitragens, na modalidade e que tem seu escopo conforme segue:</w:t>
            </w:r>
          </w:p>
          <w:p w:rsidR="001D3DD0" w:rsidRDefault="001D3DD0" w:rsidP="00A40698">
            <w:pPr>
              <w:pStyle w:val="textojustificado"/>
              <w:spacing w:before="120" w:beforeAutospacing="0" w:after="120" w:afterAutospacing="0"/>
              <w:ind w:left="120" w:right="120"/>
              <w:jc w:val="both"/>
              <w:rPr>
                <w:color w:val="000000"/>
              </w:rPr>
            </w:pPr>
            <w:r w:rsidRPr="001D3DD0">
              <w:rPr>
                <w:color w:val="000000"/>
              </w:rPr>
              <w:t> </w:t>
            </w:r>
          </w:p>
          <w:p w:rsidR="001D3DD0" w:rsidRDefault="001D3DD0" w:rsidP="00A40698">
            <w:pPr>
              <w:pStyle w:val="textojustificado"/>
              <w:spacing w:before="120" w:beforeAutospacing="0" w:after="120" w:afterAutospacing="0"/>
              <w:ind w:left="120" w:right="120"/>
              <w:jc w:val="both"/>
              <w:rPr>
                <w:color w:val="000000"/>
              </w:rPr>
            </w:pPr>
          </w:p>
          <w:p w:rsidR="001D3DD0" w:rsidRPr="001D3DD0" w:rsidRDefault="001D3DD0" w:rsidP="00A40698">
            <w:pPr>
              <w:pStyle w:val="textojustificado"/>
              <w:spacing w:before="120" w:beforeAutospacing="0" w:after="120" w:afterAutospacing="0"/>
              <w:ind w:left="120" w:right="120"/>
              <w:jc w:val="both"/>
              <w:rPr>
                <w:color w:val="000000"/>
              </w:rPr>
            </w:pPr>
          </w:p>
          <w:p w:rsidR="001D3DD0" w:rsidRPr="001D3DD0" w:rsidRDefault="001D3DD0" w:rsidP="00A40698">
            <w:pPr>
              <w:pStyle w:val="textojustificado"/>
              <w:spacing w:before="120" w:beforeAutospacing="0" w:after="120" w:afterAutospacing="0"/>
              <w:ind w:left="120" w:right="120"/>
              <w:jc w:val="both"/>
              <w:rPr>
                <w:color w:val="000000"/>
              </w:rPr>
            </w:pPr>
            <w:r w:rsidRPr="001D3DD0">
              <w:rPr>
                <w:rStyle w:val="Forte"/>
                <w:color w:val="000000"/>
              </w:rPr>
              <w:t>LOTE ÚNICO:</w:t>
            </w:r>
            <w:r w:rsidRPr="001D3DD0">
              <w:rPr>
                <w:color w:val="000000"/>
              </w:rPr>
              <w:t> </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Gerenciamento de </w:t>
            </w:r>
            <w:r w:rsidRPr="001D3DD0">
              <w:rPr>
                <w:rStyle w:val="Forte"/>
                <w:color w:val="000000"/>
              </w:rPr>
              <w:t>Arbitragem para modalidade de BASQUETEBOL</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xml:space="preserve">Composição da equipe de arbitragem: </w:t>
            </w:r>
            <w:proofErr w:type="gramStart"/>
            <w:r w:rsidRPr="001D3DD0">
              <w:rPr>
                <w:color w:val="000000"/>
              </w:rPr>
              <w:t>2</w:t>
            </w:r>
            <w:proofErr w:type="gramEnd"/>
            <w:r w:rsidRPr="001D3DD0">
              <w:rPr>
                <w:color w:val="000000"/>
              </w:rPr>
              <w:t xml:space="preserve"> Árbitros, 1 Anotador e 1 </w:t>
            </w:r>
            <w:proofErr w:type="spellStart"/>
            <w:r w:rsidRPr="001D3DD0">
              <w:rPr>
                <w:color w:val="000000"/>
              </w:rPr>
              <w:t>Cronometrista</w:t>
            </w:r>
            <w:proofErr w:type="spellEnd"/>
            <w:r w:rsidRPr="001D3DD0">
              <w:rPr>
                <w:color w:val="000000"/>
              </w:rPr>
              <w:t>, por partida e mais 1 Arbitro para categoria Adulta, conforme previsto no </w:t>
            </w:r>
            <w:r w:rsidRPr="001D3DD0">
              <w:rPr>
                <w:rStyle w:val="Forte"/>
                <w:color w:val="000000"/>
              </w:rPr>
              <w:t>Anexo I</w:t>
            </w:r>
            <w:r w:rsidRPr="001D3DD0">
              <w:rPr>
                <w:color w:val="000000"/>
              </w:rPr>
              <w:t>.  </w:t>
            </w:r>
          </w:p>
          <w:p w:rsidR="001D3DD0" w:rsidRPr="001D3DD0" w:rsidRDefault="001D3DD0" w:rsidP="00B63652">
            <w:pPr>
              <w:pStyle w:val="textojustificado"/>
              <w:numPr>
                <w:ilvl w:val="0"/>
                <w:numId w:val="16"/>
              </w:numPr>
              <w:spacing w:before="120" w:beforeAutospacing="0" w:after="120" w:afterAutospacing="0"/>
              <w:ind w:left="840" w:right="120" w:firstLine="0"/>
              <w:jc w:val="both"/>
              <w:rPr>
                <w:color w:val="000000"/>
              </w:rPr>
            </w:pPr>
            <w:r w:rsidRPr="001D3DD0">
              <w:rPr>
                <w:rStyle w:val="Forte"/>
                <w:color w:val="000000"/>
              </w:rPr>
              <w:t>Categorias = SUB 11</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xml:space="preserve"> Tempo das Partidas: </w:t>
            </w:r>
            <w:proofErr w:type="gramStart"/>
            <w:r w:rsidRPr="001D3DD0">
              <w:rPr>
                <w:color w:val="000000"/>
              </w:rPr>
              <w:t>4</w:t>
            </w:r>
            <w:proofErr w:type="gramEnd"/>
            <w:r w:rsidRPr="001D3DD0">
              <w:rPr>
                <w:color w:val="000000"/>
              </w:rPr>
              <w:t xml:space="preserve"> (quatro) tempos de 10 min.</w:t>
            </w:r>
          </w:p>
          <w:p w:rsidR="001D3DD0" w:rsidRPr="001D3DD0" w:rsidRDefault="001D3DD0" w:rsidP="00B63652">
            <w:pPr>
              <w:pStyle w:val="textojustificado"/>
              <w:numPr>
                <w:ilvl w:val="0"/>
                <w:numId w:val="17"/>
              </w:numPr>
              <w:spacing w:before="120" w:beforeAutospacing="0" w:after="120" w:afterAutospacing="0"/>
              <w:ind w:left="840" w:right="120" w:firstLine="0"/>
              <w:jc w:val="both"/>
              <w:rPr>
                <w:color w:val="000000"/>
              </w:rPr>
            </w:pPr>
            <w:r w:rsidRPr="001D3DD0">
              <w:rPr>
                <w:rStyle w:val="Forte"/>
                <w:color w:val="000000"/>
              </w:rPr>
              <w:t>Categorias = SUB 13</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xml:space="preserve"> Tempo das Partidas: </w:t>
            </w:r>
            <w:proofErr w:type="gramStart"/>
            <w:r w:rsidRPr="001D3DD0">
              <w:rPr>
                <w:color w:val="000000"/>
              </w:rPr>
              <w:t>4</w:t>
            </w:r>
            <w:proofErr w:type="gramEnd"/>
            <w:r w:rsidRPr="001D3DD0">
              <w:rPr>
                <w:color w:val="000000"/>
              </w:rPr>
              <w:t xml:space="preserve"> (quatro) tempos de 10 min.</w:t>
            </w:r>
          </w:p>
          <w:p w:rsidR="001D3DD0" w:rsidRPr="001D3DD0" w:rsidRDefault="001D3DD0" w:rsidP="00B63652">
            <w:pPr>
              <w:pStyle w:val="textojustificado"/>
              <w:numPr>
                <w:ilvl w:val="0"/>
                <w:numId w:val="18"/>
              </w:numPr>
              <w:spacing w:before="120" w:beforeAutospacing="0" w:after="120" w:afterAutospacing="0"/>
              <w:ind w:left="840" w:right="120" w:firstLine="0"/>
              <w:jc w:val="both"/>
              <w:rPr>
                <w:color w:val="000000"/>
              </w:rPr>
            </w:pPr>
            <w:r w:rsidRPr="001D3DD0">
              <w:rPr>
                <w:rStyle w:val="Forte"/>
                <w:color w:val="000000"/>
              </w:rPr>
              <w:t>Categorias = SUB 15</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xml:space="preserve"> Tempo das Partidas: </w:t>
            </w:r>
            <w:proofErr w:type="gramStart"/>
            <w:r w:rsidRPr="001D3DD0">
              <w:rPr>
                <w:color w:val="000000"/>
              </w:rPr>
              <w:t>4</w:t>
            </w:r>
            <w:proofErr w:type="gramEnd"/>
            <w:r w:rsidRPr="001D3DD0">
              <w:rPr>
                <w:color w:val="000000"/>
              </w:rPr>
              <w:t xml:space="preserve"> (quatro) tempos de 10 min.</w:t>
            </w:r>
          </w:p>
          <w:p w:rsidR="001D3DD0" w:rsidRPr="001D3DD0" w:rsidRDefault="001D3DD0" w:rsidP="00B63652">
            <w:pPr>
              <w:pStyle w:val="textojustificado"/>
              <w:numPr>
                <w:ilvl w:val="0"/>
                <w:numId w:val="19"/>
              </w:numPr>
              <w:spacing w:before="120" w:beforeAutospacing="0" w:after="120" w:afterAutospacing="0"/>
              <w:ind w:left="840" w:right="120" w:firstLine="0"/>
              <w:jc w:val="both"/>
              <w:rPr>
                <w:color w:val="000000"/>
              </w:rPr>
            </w:pPr>
            <w:r w:rsidRPr="001D3DD0">
              <w:rPr>
                <w:rStyle w:val="Forte"/>
                <w:color w:val="000000"/>
              </w:rPr>
              <w:t>Categorias = SUB 17</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xml:space="preserve"> Tempo das Partidas: </w:t>
            </w:r>
            <w:proofErr w:type="gramStart"/>
            <w:r w:rsidRPr="001D3DD0">
              <w:rPr>
                <w:color w:val="000000"/>
              </w:rPr>
              <w:t>4</w:t>
            </w:r>
            <w:proofErr w:type="gramEnd"/>
            <w:r w:rsidRPr="001D3DD0">
              <w:rPr>
                <w:color w:val="000000"/>
              </w:rPr>
              <w:t xml:space="preserve"> (quatro) tempos de 10 min.</w:t>
            </w:r>
          </w:p>
          <w:p w:rsidR="001D3DD0" w:rsidRPr="001D3DD0" w:rsidRDefault="001D3DD0" w:rsidP="00B63652">
            <w:pPr>
              <w:pStyle w:val="textojustificado"/>
              <w:numPr>
                <w:ilvl w:val="0"/>
                <w:numId w:val="20"/>
              </w:numPr>
              <w:spacing w:before="120" w:beforeAutospacing="0" w:after="120" w:afterAutospacing="0"/>
              <w:ind w:left="840" w:right="120" w:firstLine="0"/>
              <w:jc w:val="both"/>
              <w:rPr>
                <w:color w:val="000000"/>
              </w:rPr>
            </w:pPr>
            <w:r w:rsidRPr="001D3DD0">
              <w:rPr>
                <w:rStyle w:val="Forte"/>
                <w:color w:val="000000"/>
              </w:rPr>
              <w:t>Categorias = Adulta</w:t>
            </w:r>
          </w:p>
          <w:p w:rsidR="001D3DD0" w:rsidRPr="001D3DD0" w:rsidRDefault="001D3DD0" w:rsidP="00A40698">
            <w:pPr>
              <w:pStyle w:val="textojustificado"/>
              <w:spacing w:before="120" w:beforeAutospacing="0" w:after="120" w:afterAutospacing="0"/>
              <w:ind w:left="120" w:right="120"/>
              <w:jc w:val="both"/>
              <w:rPr>
                <w:color w:val="000000"/>
              </w:rPr>
            </w:pPr>
            <w:r w:rsidRPr="001D3DD0">
              <w:rPr>
                <w:color w:val="000000"/>
              </w:rPr>
              <w:t xml:space="preserve"> Tempo das Partidas: </w:t>
            </w:r>
            <w:proofErr w:type="gramStart"/>
            <w:r w:rsidRPr="001D3DD0">
              <w:rPr>
                <w:color w:val="000000"/>
              </w:rPr>
              <w:t>4</w:t>
            </w:r>
            <w:proofErr w:type="gramEnd"/>
            <w:r w:rsidRPr="001D3DD0">
              <w:rPr>
                <w:color w:val="000000"/>
              </w:rPr>
              <w:t xml:space="preserve"> (quatro) tempos de 10 min.</w:t>
            </w:r>
          </w:p>
          <w:p w:rsidR="001D3DD0" w:rsidRDefault="001D3DD0" w:rsidP="00296A34">
            <w:pPr>
              <w:pStyle w:val="textojustificado"/>
              <w:spacing w:before="120" w:beforeAutospacing="0" w:after="120" w:afterAutospacing="0"/>
              <w:ind w:left="120" w:right="120"/>
              <w:jc w:val="both"/>
              <w:rPr>
                <w:rStyle w:val="Forte"/>
                <w:color w:val="000000"/>
              </w:rPr>
            </w:pPr>
            <w:r w:rsidRPr="001D3DD0">
              <w:rPr>
                <w:color w:val="000000"/>
              </w:rPr>
              <w:t> </w:t>
            </w:r>
          </w:p>
        </w:tc>
      </w:tr>
    </w:tbl>
    <w:p w:rsidR="003D625E" w:rsidRDefault="003D625E" w:rsidP="009E39F8">
      <w:pPr>
        <w:rPr>
          <w:color w:val="000000"/>
          <w:lang w:val="pt-BR"/>
        </w:rPr>
      </w:pPr>
      <w:r w:rsidRPr="009E39F8">
        <w:rPr>
          <w:color w:val="000000"/>
          <w:lang w:val="pt-BR"/>
        </w:rPr>
        <w:lastRenderedPageBreak/>
        <w:t> </w:t>
      </w:r>
    </w:p>
    <w:p w:rsidR="00A57B9E" w:rsidRDefault="00A57B9E" w:rsidP="009E39F8">
      <w:pPr>
        <w:rPr>
          <w:color w:val="000000"/>
          <w:lang w:val="pt-BR"/>
        </w:rPr>
      </w:pPr>
    </w:p>
    <w:tbl>
      <w:tblPr>
        <w:tblW w:w="984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41"/>
      </w:tblGrid>
      <w:tr w:rsidR="00296A34" w:rsidRPr="00B510C6" w:rsidTr="00296A34">
        <w:trPr>
          <w:tblCellSpacing w:w="15" w:type="dxa"/>
        </w:trPr>
        <w:tc>
          <w:tcPr>
            <w:tcW w:w="9781" w:type="dxa"/>
            <w:tcBorders>
              <w:top w:val="outset" w:sz="6" w:space="0" w:color="auto"/>
              <w:left w:val="outset" w:sz="6" w:space="0" w:color="auto"/>
              <w:bottom w:val="outset" w:sz="6" w:space="0" w:color="auto"/>
              <w:right w:val="outset" w:sz="6" w:space="0" w:color="auto"/>
            </w:tcBorders>
            <w:vAlign w:val="center"/>
          </w:tcPr>
          <w:p w:rsidR="00296A34" w:rsidRDefault="00296A34" w:rsidP="00296A34">
            <w:pPr>
              <w:pStyle w:val="centralizadotimbresecretaria"/>
              <w:spacing w:before="0" w:beforeAutospacing="0" w:after="0" w:afterAutospacing="0"/>
              <w:jc w:val="center"/>
              <w:rPr>
                <w:rStyle w:val="Forte"/>
                <w:rFonts w:ascii="Calibri" w:hAnsi="Calibri"/>
                <w:color w:val="000000"/>
                <w:sz w:val="26"/>
                <w:szCs w:val="26"/>
                <w:u w:val="single"/>
              </w:rPr>
            </w:pPr>
          </w:p>
          <w:p w:rsidR="00296A34" w:rsidRDefault="00296A34" w:rsidP="00296A34">
            <w:pPr>
              <w:pStyle w:val="centralizadotimbresecretaria"/>
              <w:spacing w:before="0" w:beforeAutospacing="0" w:after="0" w:afterAutospacing="0"/>
              <w:jc w:val="center"/>
              <w:rPr>
                <w:rStyle w:val="Forte"/>
                <w:color w:val="000000"/>
                <w:u w:val="single"/>
              </w:rPr>
            </w:pPr>
          </w:p>
          <w:p w:rsidR="00296A34" w:rsidRDefault="00296A34" w:rsidP="0034142D">
            <w:pPr>
              <w:pStyle w:val="centralizadotimbresecretaria"/>
              <w:spacing w:before="0" w:beforeAutospacing="0" w:after="0" w:afterAutospacing="0"/>
              <w:ind w:left="142" w:right="82"/>
              <w:jc w:val="center"/>
              <w:rPr>
                <w:rStyle w:val="Forte"/>
                <w:color w:val="000000"/>
                <w:u w:val="single"/>
              </w:rPr>
            </w:pPr>
            <w:r w:rsidRPr="00296A34">
              <w:rPr>
                <w:rStyle w:val="Forte"/>
                <w:color w:val="000000"/>
                <w:u w:val="single"/>
              </w:rPr>
              <w:t>ANEXO III</w:t>
            </w:r>
          </w:p>
          <w:p w:rsidR="00296A34" w:rsidRDefault="00296A34" w:rsidP="0034142D">
            <w:pPr>
              <w:pStyle w:val="centralizadotimbresecretaria"/>
              <w:spacing w:before="0" w:beforeAutospacing="0" w:after="0" w:afterAutospacing="0"/>
              <w:ind w:left="142" w:right="82"/>
              <w:jc w:val="center"/>
              <w:rPr>
                <w:rStyle w:val="Forte"/>
                <w:color w:val="000000"/>
                <w:u w:val="single"/>
              </w:rPr>
            </w:pPr>
          </w:p>
          <w:p w:rsidR="00296A34" w:rsidRDefault="00296A34" w:rsidP="0034142D">
            <w:pPr>
              <w:pStyle w:val="textojustificado"/>
              <w:spacing w:before="120" w:beforeAutospacing="0" w:after="120" w:afterAutospacing="0"/>
              <w:ind w:left="142" w:right="82"/>
              <w:jc w:val="center"/>
              <w:rPr>
                <w:rStyle w:val="Forte"/>
                <w:color w:val="000000"/>
                <w:u w:val="single"/>
              </w:rPr>
            </w:pPr>
            <w:r w:rsidRPr="00296A34">
              <w:rPr>
                <w:color w:val="000000"/>
              </w:rPr>
              <w:lastRenderedPageBreak/>
              <w:t>​</w:t>
            </w:r>
            <w:r w:rsidRPr="00296A34">
              <w:rPr>
                <w:rStyle w:val="Forte"/>
                <w:color w:val="000000"/>
                <w:u w:val="single"/>
              </w:rPr>
              <w:t>DAS PENALIDADES</w:t>
            </w:r>
          </w:p>
          <w:p w:rsidR="00296A34" w:rsidRDefault="00296A34" w:rsidP="0034142D">
            <w:pPr>
              <w:pStyle w:val="textojustificado"/>
              <w:spacing w:before="120" w:beforeAutospacing="0" w:after="120" w:afterAutospacing="0"/>
              <w:ind w:left="142" w:right="82"/>
              <w:jc w:val="center"/>
              <w:rPr>
                <w:rStyle w:val="Forte"/>
                <w:color w:val="000000"/>
                <w:u w:val="single"/>
              </w:rPr>
            </w:pP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 Além das sanções previstas no capítulo IV da Lei Federal nº 8.666/93 e demais normas pertinentes, e das penalidades estipuladas na Minuta da ATA de Registro de Preços, bem como na Minuta de Contrato a </w:t>
            </w:r>
            <w:r w:rsidRPr="00296A34">
              <w:rPr>
                <w:rStyle w:val="Forte"/>
                <w:color w:val="000000"/>
              </w:rPr>
              <w:t>CONTRATADA</w:t>
            </w:r>
            <w:r w:rsidRPr="00296A34">
              <w:rPr>
                <w:color w:val="000000"/>
              </w:rPr>
              <w:t> estará sujeita às penalidades a seguir discriminadas:</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1.1.   pela recusa em retirar a ordem de serviço, a nota de empenho, bem como assinar o contrato (quando exigível), multa de 20% (vinte por cento) sobre o valor da nota de empenho ou do contrato.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 xml:space="preserve">1.2.   Multa de 0,5% (meio por cento) por dia de atraso no início dos serviços conforme cláusula </w:t>
            </w:r>
            <w:proofErr w:type="gramStart"/>
            <w:r w:rsidRPr="00296A34">
              <w:rPr>
                <w:color w:val="000000"/>
              </w:rPr>
              <w:t>2</w:t>
            </w:r>
            <w:proofErr w:type="gramEnd"/>
            <w:r w:rsidRPr="00296A34">
              <w:rPr>
                <w:color w:val="000000"/>
              </w:rPr>
              <w:t xml:space="preserve"> deste termo, a qual incidirá sobre o valor do contrato, até o limite de 10 (dez) dias, após o que, considerar-se-á inexecução total ou parcial do ajuste, conforme o caso;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1.3.   Multa de 30% (trinta por cento) por ausência ao jogo de 01 (um) oficial, a ser calculado sobre o valor da partida, desde que a partida tenha sido realizada, sem prejuízo do desconto pelo serviço não executado. Caso a mesma deixe de ser realizada a penalidade será aplicada conforme descrito no item 1.4.</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1.4.   Multa de 100% (cem por cento) por ausência ao jogo de toda equipe de arbitragem, a ser calculado sobre o valor da partida, sem prejuízo do desconto pelo serviço não executado.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1.4.1. Nos casos em que os jogos forem de semifinal ou final a multa estipulada no subitem 1.4 será dobrada.</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1.4.2. A </w:t>
            </w:r>
            <w:r w:rsidRPr="00296A34">
              <w:rPr>
                <w:rStyle w:val="Forte"/>
                <w:color w:val="000000"/>
              </w:rPr>
              <w:t>reincidência </w:t>
            </w:r>
            <w:r w:rsidRPr="00296A34">
              <w:rPr>
                <w:color w:val="000000"/>
              </w:rPr>
              <w:t>de falta de arbitragem, </w:t>
            </w:r>
            <w:r w:rsidRPr="00296A34">
              <w:rPr>
                <w:rStyle w:val="Forte"/>
                <w:color w:val="000000"/>
                <w:u w:val="single"/>
              </w:rPr>
              <w:t>num mesmo jogo</w:t>
            </w:r>
            <w:r w:rsidRPr="00296A34">
              <w:rPr>
                <w:rStyle w:val="Forte"/>
                <w:color w:val="000000"/>
              </w:rPr>
              <w:t> (remarcado por ausência de árbitros em rodadas anteriores)</w:t>
            </w:r>
            <w:r w:rsidRPr="00296A34">
              <w:rPr>
                <w:color w:val="000000"/>
              </w:rPr>
              <w:t> terá o valor da multa dobrada, </w:t>
            </w:r>
            <w:r w:rsidRPr="00296A34">
              <w:rPr>
                <w:rStyle w:val="Forte"/>
                <w:color w:val="000000"/>
              </w:rPr>
              <w:t>sendo de 200% (duzentos por cento inteiros) sobre o valor da partida</w:t>
            </w:r>
            <w:r w:rsidRPr="00296A34">
              <w:rPr>
                <w:color w:val="000000"/>
              </w:rPr>
              <w:t>, em decorrência dos irreparáveis prejuízos para as mesmas equipes e pelos repetidos danos à imagem e à organização do evento.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1.5.   Multa de 25% (vinte e cinco por cento) por atraso ao jogo de cada componente da equipe de arbitragem sobre o valor da partida.</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 xml:space="preserve">1.5.1. Multa por reincidência de atraso de uma mesma pessoa (Árbitro, Auxiliar, Anotador ou </w:t>
            </w:r>
            <w:proofErr w:type="spellStart"/>
            <w:r w:rsidRPr="00296A34">
              <w:rPr>
                <w:color w:val="000000"/>
              </w:rPr>
              <w:t>Cronometrista</w:t>
            </w:r>
            <w:proofErr w:type="spellEnd"/>
            <w:r w:rsidRPr="00296A34">
              <w:rPr>
                <w:color w:val="000000"/>
              </w:rPr>
              <w:t>), para a qual já tenha sido aplicada multa anteriormente, será aplicada a multa de 35% (trinta e cinco inteiros por cento) sobre o valor da partida.</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1.5.2. O tempo de atraso será configurado quando no horário previsto para o início do primeiro jogo a equipe de arbitragem não tiver devidamente uniformizada e em campo e/ou quadra.</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1.6.   Multa de 10% (dez por cento) por erro de informação ou alteração indevida de registros na súmula da partida, bem como, falta de conhecimento das regras específicas do regulamento do campeonato e as regras oficiais da modalidade, a ser calculado sobre o valor da partida. Na reincidência a multa será dobrada.</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1.7.   Multa de 10% (dez por cento) sobre o valor da partida nos casos em que ocorrer as seguintes ocorrências:</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Falta de polidez no trato com os usuários, por ocorrência e por funcionário;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Falta de asseio e/ou uniformização inadequada da equipe de trabalho, por ocorrência e por funcionário;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1.8.   Multa de 0,5% (meio por cento) sobre o valor anual do contrato pelo não atendimento das exigências formuladas pela fiscalização.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1.9.   Multa de 50% (cinquenta inteiros por cento) sobre o valor anual contratual, por inexecução total do contrato.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1.9.1. Multa de 30% (trinta inteiros por cento) sobre o saldo do valor anual do contrato em caso de inexecução parcial do Contrato.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lastRenderedPageBreak/>
              <w:t>1.10. Multa de 20% (vinte inteiros por cento) por rescisão do contrato decorrente da inadimplência da contratada, a qual incidirá sobre o valor do contrato.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1.11. Pelo cancelamento do presente Contrato por culpa da </w:t>
            </w:r>
            <w:r w:rsidRPr="00296A34">
              <w:rPr>
                <w:rStyle w:val="Forte"/>
                <w:color w:val="000000"/>
              </w:rPr>
              <w:t>CONTRATADA</w:t>
            </w:r>
            <w:r w:rsidRPr="00296A34">
              <w:rPr>
                <w:color w:val="000000"/>
              </w:rPr>
              <w:t>, multa de 10% (dez por cento) sobre o valor estimado da contratação prevista no Edital.</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1.12. Nos casos de problemas técnicos (erro ou desempenho insatisfatório da equipe de arbitragem que gerem transtornos no decorrer da partida) e na hipótese de não substituição de árbitros que apresentarem desempenho insatisfatório ou que não apresentavam adequado nível técnico em partidas anteriores, após a </w:t>
            </w:r>
            <w:r w:rsidRPr="00296A34">
              <w:rPr>
                <w:rStyle w:val="Forte"/>
                <w:color w:val="000000"/>
              </w:rPr>
              <w:t>CONTRATADA</w:t>
            </w:r>
            <w:r w:rsidRPr="00296A34">
              <w:rPr>
                <w:color w:val="000000"/>
              </w:rPr>
              <w:t> ter sido notificada sobre o caso:</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1.12.1. Multa de 10% (dez por cento) a ser calculado pelo valor da equipe escalada para o jogo nos casos de problemas técnicos (erro ou desempenho insatisfatório da equipe de arbitragem que gerem transtornos no decorrer da partida)</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1.12.2. Multa de 60% (sessenta por cento) a ser calculado pelo valor da equipe escalada para o jogo na hipótese de não substituição de árbitros que apresentarem desempenho insatisfatório ou que não apresentavam adequado nível técnico em partidas anteriores e após a </w:t>
            </w:r>
            <w:r w:rsidRPr="00296A34">
              <w:rPr>
                <w:rStyle w:val="Forte"/>
                <w:color w:val="000000"/>
              </w:rPr>
              <w:t>CONTRATADA</w:t>
            </w:r>
            <w:r w:rsidRPr="00296A34">
              <w:rPr>
                <w:color w:val="000000"/>
              </w:rPr>
              <w:t> ter sido notificada não efetuou a substituição dos mesmos.</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2.      As sanções são independentes e a aplicação de uma não exclui a das outras.</w:t>
            </w:r>
          </w:p>
          <w:p w:rsidR="00296A34" w:rsidRPr="00296A34" w:rsidRDefault="00296A34" w:rsidP="0034142D">
            <w:pPr>
              <w:pStyle w:val="textojustificado"/>
              <w:spacing w:before="120" w:beforeAutospacing="0" w:after="120" w:afterAutospacing="0"/>
              <w:ind w:left="142" w:right="82"/>
              <w:jc w:val="both"/>
              <w:rPr>
                <w:color w:val="000000"/>
              </w:rPr>
            </w:pPr>
            <w:r w:rsidRPr="00296A34">
              <w:rPr>
                <w:color w:val="000000"/>
              </w:rPr>
              <w:t xml:space="preserve">3.    O prazo para pagamento de multas será de </w:t>
            </w:r>
            <w:proofErr w:type="gramStart"/>
            <w:r w:rsidRPr="00296A34">
              <w:rPr>
                <w:color w:val="000000"/>
              </w:rPr>
              <w:t>5</w:t>
            </w:r>
            <w:proofErr w:type="gramEnd"/>
            <w:r w:rsidRPr="00296A34">
              <w:rPr>
                <w:color w:val="000000"/>
              </w:rPr>
              <w:t xml:space="preserve"> (cinco) dias úteis a contar da intimação da empresa apenada, sendo possível, a critério da PMSP/SEME, o desconto das respectivas importâncias do valor eventualmente devido à</w:t>
            </w:r>
            <w:r>
              <w:rPr>
                <w:color w:val="000000"/>
              </w:rPr>
              <w:t xml:space="preserve"> </w:t>
            </w:r>
            <w:r w:rsidRPr="00296A34">
              <w:rPr>
                <w:rStyle w:val="Forte"/>
                <w:color w:val="000000"/>
              </w:rPr>
              <w:t>CONTRATADA</w:t>
            </w:r>
            <w:r w:rsidRPr="00296A34">
              <w:rPr>
                <w:color w:val="000000"/>
              </w:rPr>
              <w:t>. Não havendo pagamento pela empresa, o valor será inscrito como dívida ativa, sujeitando-se ao competente processo executivo.</w:t>
            </w:r>
          </w:p>
          <w:p w:rsidR="00296A34" w:rsidRPr="009E39F8" w:rsidRDefault="00296A34" w:rsidP="0034142D">
            <w:pPr>
              <w:pStyle w:val="textojustificadorecuoprimeiralinha"/>
              <w:spacing w:before="120" w:beforeAutospacing="0" w:after="120" w:afterAutospacing="0"/>
              <w:ind w:left="142" w:right="82"/>
              <w:jc w:val="both"/>
            </w:pPr>
            <w:r w:rsidRPr="00296A34">
              <w:rPr>
                <w:color w:val="000000"/>
              </w:rPr>
              <w:t>3.1. O não pagamento de multas no prazo previsto ensejará a inscrição do respectivo valor como dívida ativa, sujeitando-se a </w:t>
            </w:r>
            <w:r w:rsidRPr="00296A34">
              <w:rPr>
                <w:rStyle w:val="Forte"/>
                <w:color w:val="000000"/>
              </w:rPr>
              <w:t>CONTRATADA</w:t>
            </w:r>
            <w:r w:rsidRPr="00296A34">
              <w:rPr>
                <w:color w:val="000000"/>
              </w:rPr>
              <w:t> ao processo judicial de execução.</w:t>
            </w:r>
          </w:p>
        </w:tc>
      </w:tr>
    </w:tbl>
    <w:p w:rsidR="00296A34" w:rsidRPr="009608B1" w:rsidRDefault="00296A34">
      <w:pPr>
        <w:rPr>
          <w:lang w:val="pt-BR"/>
        </w:rPr>
      </w:pPr>
    </w:p>
    <w:tbl>
      <w:tblPr>
        <w:tblW w:w="984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841"/>
      </w:tblGrid>
      <w:tr w:rsidR="00296A34" w:rsidRPr="00B510C6" w:rsidTr="00296A34">
        <w:trPr>
          <w:tblCellSpacing w:w="15" w:type="dxa"/>
        </w:trPr>
        <w:tc>
          <w:tcPr>
            <w:tcW w:w="9781" w:type="dxa"/>
            <w:tcBorders>
              <w:top w:val="outset" w:sz="6" w:space="0" w:color="auto"/>
              <w:left w:val="outset" w:sz="6" w:space="0" w:color="auto"/>
              <w:bottom w:val="outset" w:sz="6" w:space="0" w:color="auto"/>
              <w:right w:val="outset" w:sz="6" w:space="0" w:color="auto"/>
            </w:tcBorders>
            <w:vAlign w:val="center"/>
          </w:tcPr>
          <w:p w:rsidR="00296A34" w:rsidRDefault="00296A34" w:rsidP="00296A34">
            <w:pPr>
              <w:pStyle w:val="centralizadotimbresecretaria"/>
              <w:spacing w:before="0" w:beforeAutospacing="0" w:after="0" w:afterAutospacing="0"/>
              <w:jc w:val="center"/>
              <w:rPr>
                <w:rStyle w:val="Forte"/>
                <w:color w:val="000000"/>
                <w:u w:val="single"/>
              </w:rPr>
            </w:pPr>
          </w:p>
          <w:p w:rsidR="00296A34" w:rsidRPr="00296A34" w:rsidRDefault="00296A34" w:rsidP="00296A34">
            <w:pPr>
              <w:pStyle w:val="centralizadotimbresecretaria"/>
              <w:spacing w:before="0" w:beforeAutospacing="0" w:after="0" w:afterAutospacing="0"/>
              <w:jc w:val="center"/>
              <w:rPr>
                <w:color w:val="000000"/>
              </w:rPr>
            </w:pPr>
            <w:r w:rsidRPr="00296A34">
              <w:rPr>
                <w:rStyle w:val="Forte"/>
                <w:color w:val="000000"/>
                <w:u w:val="single"/>
              </w:rPr>
              <w:t>ANEXO IV</w:t>
            </w:r>
          </w:p>
          <w:p w:rsidR="00296A34" w:rsidRPr="00296A34" w:rsidRDefault="00296A34" w:rsidP="00296A34">
            <w:pPr>
              <w:pStyle w:val="centralizadotimbresecretaria"/>
              <w:spacing w:before="0" w:beforeAutospacing="0" w:after="0" w:afterAutospacing="0"/>
              <w:jc w:val="center"/>
              <w:rPr>
                <w:color w:val="000000"/>
              </w:rPr>
            </w:pPr>
            <w:r w:rsidRPr="00296A34">
              <w:rPr>
                <w:color w:val="000000"/>
              </w:rPr>
              <w:t> </w:t>
            </w:r>
          </w:p>
          <w:p w:rsidR="00296A34" w:rsidRPr="00296A34" w:rsidRDefault="00296A34" w:rsidP="00296A34">
            <w:pPr>
              <w:pStyle w:val="centralizadotimbresecretaria"/>
              <w:spacing w:before="0" w:beforeAutospacing="0" w:after="0" w:afterAutospacing="0"/>
              <w:jc w:val="center"/>
              <w:rPr>
                <w:rStyle w:val="Forte"/>
                <w:color w:val="000000"/>
                <w:u w:val="single"/>
              </w:rPr>
            </w:pPr>
            <w:r w:rsidRPr="00296A34">
              <w:rPr>
                <w:rStyle w:val="Forte"/>
                <w:color w:val="000000"/>
                <w:u w:val="single"/>
              </w:rPr>
              <w:t>DAS OBRIGAÇÕES DA CONTRATADA</w:t>
            </w:r>
          </w:p>
          <w:p w:rsidR="00296A34" w:rsidRPr="00296A34" w:rsidRDefault="00296A34" w:rsidP="00296A34">
            <w:pPr>
              <w:pStyle w:val="centralizadotimbresecretaria"/>
              <w:spacing w:before="0" w:beforeAutospacing="0" w:after="0" w:afterAutospacing="0"/>
              <w:jc w:val="center"/>
              <w:rPr>
                <w:color w:val="000000"/>
              </w:rPr>
            </w:pP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1º)</w:t>
            </w:r>
            <w:proofErr w:type="gramEnd"/>
            <w:r w:rsidRPr="00296A34">
              <w:rPr>
                <w:color w:val="000000"/>
              </w:rPr>
              <w:t xml:space="preserve"> Assegurar adequada  formação e satisfatório  nível técnico  da arbitragem , tanto  na função  de árbitro principal  como de  assistente e anotador/</w:t>
            </w:r>
            <w:proofErr w:type="spellStart"/>
            <w:r w:rsidRPr="00296A34">
              <w:rPr>
                <w:color w:val="000000"/>
              </w:rPr>
              <w:t>cronometrista</w:t>
            </w:r>
            <w:proofErr w:type="spellEnd"/>
            <w:r w:rsidRPr="00296A34">
              <w:rPr>
                <w:color w:val="000000"/>
              </w:rPr>
              <w:t>, </w:t>
            </w:r>
            <w:r w:rsidRPr="00296A34">
              <w:rPr>
                <w:rStyle w:val="Forte"/>
                <w:color w:val="000000"/>
              </w:rPr>
              <w:t>apresentando sempre que solicitado pela Contratante  a capacitação dos árbitros nas respectivas modalidades</w:t>
            </w:r>
            <w:r w:rsidRPr="00296A34">
              <w:rPr>
                <w:color w:val="000000"/>
              </w:rPr>
              <w:t>.</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2º)</w:t>
            </w:r>
            <w:proofErr w:type="gramEnd"/>
            <w:r w:rsidRPr="00296A34">
              <w:rPr>
                <w:color w:val="000000"/>
              </w:rPr>
              <w:t xml:space="preserve"> Responsabilizar-se pela  disponibilização de toda mão de obra e materiais decorrentes da execução dos serviços nos locais das partidas determinado pela Contratante, conforme a tabela de jogos divulgada pelo site</w:t>
            </w:r>
            <w:hyperlink r:id="rId10" w:tgtFrame="_blank" w:history="1">
              <w:r w:rsidRPr="00296A34">
                <w:rPr>
                  <w:rStyle w:val="Hyperlink"/>
                </w:rPr>
                <w:t>www.prefeitura.sp.gov.br/seme/campeonatos</w:t>
              </w:r>
            </w:hyperlink>
            <w:r w:rsidRPr="00296A34">
              <w:rPr>
                <w:color w:val="000000"/>
              </w:rPr>
              <w:t> e </w:t>
            </w:r>
            <w:hyperlink r:id="rId11" w:tgtFrame="_blank" w:history="1">
              <w:r w:rsidRPr="00296A34">
                <w:rPr>
                  <w:rStyle w:val="Hyperlink"/>
                </w:rPr>
                <w:t>www.jogosdacidade.prefeitura.sp.gov.br</w:t>
              </w:r>
            </w:hyperlink>
            <w:r w:rsidRPr="00296A34">
              <w:rPr>
                <w:color w:val="000000"/>
              </w:rPr>
              <w:t> – atualizada semanalmente.</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3º)</w:t>
            </w:r>
            <w:proofErr w:type="gramEnd"/>
            <w:r w:rsidRPr="00296A34">
              <w:rPr>
                <w:color w:val="000000"/>
              </w:rPr>
              <w:t xml:space="preserve"> A única e exclusiva remuneração devida a contratada será aquela decorrente do valor registrado no gerenciamento dos serviços de arbitragem por modalidade esportiva, devendo nele estar inclusos todas as despesas, decorrentes, incluindo todos os custos, impostos, taxas, transporte eventuais benefícios e constituirá, a qualquer título, a única e completa remuneração pelo adequado e perfeito cumprimento do objeto das obrigações da presente ata, de modo que nenhuma outra remuneração será devida.</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4º)</w:t>
            </w:r>
            <w:proofErr w:type="gramEnd"/>
            <w:r w:rsidRPr="00296A34">
              <w:rPr>
                <w:color w:val="000000"/>
              </w:rPr>
              <w:t>  Arcar com as despesas e assumir todas as responsabilidades, bem como tomar medidas necessárias ao atendimento da mão de obra envolvida na prestação de serviços que  se acidentarem ou  acidentados ou sofrerem, mal súbito, durante a execução dos serviços.</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5°)</w:t>
            </w:r>
            <w:proofErr w:type="gramEnd"/>
            <w:r w:rsidRPr="00296A34">
              <w:rPr>
                <w:color w:val="000000"/>
              </w:rPr>
              <w:t xml:space="preserve"> Durante os jogos, em havendo necessidade, apurada pela(as) Contratada(as) e/ou pela Contratante - em especial  nas modalidades de basquete, deverá ser disponibilizado mais um </w:t>
            </w:r>
            <w:r w:rsidRPr="00296A34">
              <w:rPr>
                <w:color w:val="000000"/>
              </w:rPr>
              <w:lastRenderedPageBreak/>
              <w:t>profissional para  a perfeita execução dos serviços de cronometragem, às expensas da Contratada.</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6º)</w:t>
            </w:r>
            <w:proofErr w:type="gramEnd"/>
            <w:r w:rsidRPr="00296A34">
              <w:rPr>
                <w:color w:val="000000"/>
              </w:rPr>
              <w:t xml:space="preserve"> A equipe de arbitragem deverá comparecer ao local de jogo, </w:t>
            </w:r>
            <w:r w:rsidRPr="00296A34">
              <w:rPr>
                <w:rStyle w:val="Forte"/>
                <w:color w:val="000000"/>
              </w:rPr>
              <w:t>devidamente uniformizada</w:t>
            </w:r>
            <w:r w:rsidRPr="00296A34">
              <w:rPr>
                <w:color w:val="000000"/>
              </w:rPr>
              <w:t>, com </w:t>
            </w:r>
            <w:r w:rsidRPr="00296A34">
              <w:rPr>
                <w:rStyle w:val="Forte"/>
                <w:color w:val="000000"/>
                <w:u w:val="single"/>
              </w:rPr>
              <w:t>30 minutos de antecedência</w:t>
            </w:r>
            <w:r w:rsidRPr="00296A34">
              <w:rPr>
                <w:color w:val="000000"/>
              </w:rPr>
              <w:t>  do horário previsto para início da disputa.</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7º)</w:t>
            </w:r>
            <w:proofErr w:type="gramEnd"/>
            <w:r w:rsidRPr="00296A34">
              <w:rPr>
                <w:color w:val="000000"/>
              </w:rPr>
              <w:t xml:space="preserve"> Manter um plantão telefônico de atendimento nos dias de jogos, para </w:t>
            </w:r>
            <w:r w:rsidRPr="00296A34">
              <w:rPr>
                <w:color w:val="000000"/>
                <w:u w:val="single"/>
              </w:rPr>
              <w:t>adotar providências imediatas</w:t>
            </w:r>
            <w:r w:rsidRPr="00296A34">
              <w:rPr>
                <w:color w:val="000000"/>
              </w:rPr>
              <w:t> nas ocorrências de atraso, ausência ou outro problema com a equipe de arbitragem, a fim de evitar a suspensão total da rodada.</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8º)</w:t>
            </w:r>
            <w:proofErr w:type="gramEnd"/>
            <w:r w:rsidRPr="00296A34">
              <w:rPr>
                <w:color w:val="000000"/>
              </w:rPr>
              <w:t xml:space="preserve"> Disponibilizar os profissionais descritos na especificação técnica (árbitros, anotadores, </w:t>
            </w:r>
            <w:proofErr w:type="spellStart"/>
            <w:r w:rsidRPr="00296A34">
              <w:rPr>
                <w:color w:val="000000"/>
              </w:rPr>
              <w:t>cronometristas</w:t>
            </w:r>
            <w:proofErr w:type="spellEnd"/>
            <w:r w:rsidRPr="00296A34">
              <w:rPr>
                <w:color w:val="000000"/>
              </w:rPr>
              <w:t>) nas quantidades necessárias à garantia da boa execução dos serviços contratados, bem como o material que for solicitado.</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9º)</w:t>
            </w:r>
            <w:proofErr w:type="gramEnd"/>
            <w:r w:rsidRPr="00296A34">
              <w:rPr>
                <w:color w:val="000000"/>
              </w:rPr>
              <w:t>  Efetuar a imediata reposição de mão de obra, em eventual ausência , sob pena de inadimplemento contratual, sem prejuízo de descontos de serviços não executados e aplicação de multas.</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10º)</w:t>
            </w:r>
            <w:proofErr w:type="gramEnd"/>
            <w:r w:rsidRPr="00296A34">
              <w:rPr>
                <w:color w:val="000000"/>
              </w:rPr>
              <w:t xml:space="preserve"> Comunicar imediatamente à unidade contratante toda vez que ocorrer afastamento ou qualquer irregularidade, substituição ou inclusão de elemento na Equipe que estiver prestando serviços.</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11º)</w:t>
            </w:r>
            <w:proofErr w:type="gramEnd"/>
            <w:r w:rsidRPr="00296A34">
              <w:rPr>
                <w:color w:val="000000"/>
              </w:rPr>
              <w:t xml:space="preserve"> Responsabilizar-se pelo cumprimento das normas disciplinares determinadas pela Prefeitura, além de instruir os profissionais quanto à  necessidade de acatar as orientações da Contratante e respeitar os procedimentos da organização  do evento e também  o Regulamento da competição.</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12º)</w:t>
            </w:r>
            <w:proofErr w:type="gramEnd"/>
            <w:r w:rsidRPr="00296A34">
              <w:rPr>
                <w:color w:val="000000"/>
              </w:rPr>
              <w:t xml:space="preserve"> Atender de imediato as solicitações da Contratante quanto à  substituição de profissionais não qualificados ou entendidos como inadequados para a prestação dos serviços (devido à sua atuação insatisfatória ou por atitudes indevidas no decorrer do evento).</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13º)</w:t>
            </w:r>
            <w:proofErr w:type="gramEnd"/>
            <w:r w:rsidRPr="00296A34">
              <w:rPr>
                <w:color w:val="000000"/>
              </w:rPr>
              <w:t xml:space="preserve"> Manter controle de frequência e de pontualidade dos profissionais que estiverem atuando no evento, aplicando advertência formal em caso de atraso ou ausência.</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14º)</w:t>
            </w:r>
            <w:proofErr w:type="gramEnd"/>
            <w:r w:rsidRPr="00296A34">
              <w:rPr>
                <w:color w:val="000000"/>
              </w:rPr>
              <w:t xml:space="preserve"> Propiciar aos profissionais todas as condições necessárias para o perfeito desenvolvimento dos serviços, bem como, garantir que todos os materiais  inerentes à função (uniforme, apito, cartões disciplinares, prancheta, canetas, súmulas para eventos da SEME e de apoio, cronômetros, </w:t>
            </w:r>
            <w:proofErr w:type="spellStart"/>
            <w:r w:rsidRPr="00296A34">
              <w:rPr>
                <w:color w:val="000000"/>
              </w:rPr>
              <w:t>etc</w:t>
            </w:r>
            <w:proofErr w:type="spellEnd"/>
            <w:r w:rsidRPr="00296A34">
              <w:rPr>
                <w:color w:val="000000"/>
              </w:rPr>
              <w:t>).</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15º)</w:t>
            </w:r>
            <w:proofErr w:type="gramEnd"/>
            <w:r w:rsidRPr="00296A34">
              <w:rPr>
                <w:color w:val="000000"/>
              </w:rPr>
              <w:t xml:space="preserve"> Disponibilizar súmulas para eventos de apoio  e  orientar os profissionais para elaborar a Relação Nominal (nome, nº RG e CPF dos atletas presentes) no caso de ausência do representante da organização do evento  no local  de competição. A ausência de representante da organização não justifica a suspensão da rodada.</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16º)</w:t>
            </w:r>
            <w:proofErr w:type="gramEnd"/>
            <w:r w:rsidRPr="00296A34">
              <w:rPr>
                <w:color w:val="000000"/>
              </w:rPr>
              <w:t xml:space="preserve"> Relatar à Contratante toda e qualquer irregularidade observada nos locais em que forem prestar os serviços.</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17º)</w:t>
            </w:r>
            <w:proofErr w:type="gramEnd"/>
            <w:r w:rsidRPr="00296A34">
              <w:rPr>
                <w:color w:val="000000"/>
              </w:rPr>
              <w:t xml:space="preserve"> Preparar relatório ao término de cada rodada, informando as ocorrências em cada partida realizada, de acordo com modelo a ser fornecido pela Coordenação do evento ou no verso da sumula nos casos que não haja formulário de relatório aparte, bem como tabela com os resultados.</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18º)</w:t>
            </w:r>
            <w:proofErr w:type="gramEnd"/>
            <w:r w:rsidRPr="00296A34">
              <w:rPr>
                <w:color w:val="000000"/>
              </w:rPr>
              <w:t xml:space="preserve"> Responsabilizar-se pelos danos causados, por ação ou omissão, diretamente à Contratante ou a terceiros, decorrentes de culpa ou dolo, na execução do contrato, não excluindo ou reduzindo essa responsabilidade a fiscalização da Contratante em seu acompanhamento.</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19º)</w:t>
            </w:r>
            <w:proofErr w:type="gramEnd"/>
            <w:r w:rsidRPr="00296A34">
              <w:rPr>
                <w:color w:val="000000"/>
              </w:rPr>
              <w:t xml:space="preserve"> Responder por eventuais danos causados à Contratante ou a terceiros, decorrentes de ações ou omissões de seus profissionais e indenizar todos os prejuízos causados por seus funcionários e prepostos,  quando devidamente comprovados.</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20º)</w:t>
            </w:r>
            <w:proofErr w:type="gramEnd"/>
            <w:r w:rsidRPr="00296A34">
              <w:rPr>
                <w:color w:val="000000"/>
              </w:rPr>
              <w:t xml:space="preserve"> Ressarcir a Contratante ou terceiros, por prejuízos suportados em razão de ação, omissão voluntária, negligência, imprudência ou imperícia de seus profissionais durante a execução ou em razão dos serviços contratados.</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21º)</w:t>
            </w:r>
            <w:proofErr w:type="gramEnd"/>
            <w:r w:rsidRPr="00296A34">
              <w:rPr>
                <w:color w:val="000000"/>
              </w:rPr>
              <w:t xml:space="preserve"> Responder por todos os encargos  e obrigações de natureza trabalhista, previdenciária, fiscal, </w:t>
            </w:r>
            <w:r w:rsidRPr="00296A34">
              <w:rPr>
                <w:color w:val="000000"/>
              </w:rPr>
              <w:lastRenderedPageBreak/>
              <w:t>acidentária, administrativa, civil e comercial resultantes da celebração do ajuste.</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22°)</w:t>
            </w:r>
            <w:proofErr w:type="gramEnd"/>
            <w:r w:rsidRPr="00296A34">
              <w:rPr>
                <w:color w:val="000000"/>
              </w:rPr>
              <w:t xml:space="preserve"> Anexar à cada Nota Fiscal os recibos/comprovantes de pagamento dos árbitros que atuaram na respectiva  rodada, discriminando os valores de  encargos e benefícios incluídos no pagamento pelos  serviços prestados. </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23º)</w:t>
            </w:r>
            <w:proofErr w:type="gramEnd"/>
            <w:r w:rsidRPr="00296A34">
              <w:rPr>
                <w:color w:val="000000"/>
              </w:rPr>
              <w:t xml:space="preserve"> Apresentar a relação de jogos realizados (contendo data, horário e nome das equipes), juntamente com as Notas Fiscais dos serviços prestados, para facilitar a conferência com a tabela da competição.</w:t>
            </w:r>
          </w:p>
          <w:p w:rsidR="00296A34" w:rsidRPr="00296A34" w:rsidRDefault="00296A34" w:rsidP="00296A34">
            <w:pPr>
              <w:pStyle w:val="textojustificado"/>
              <w:spacing w:before="120" w:beforeAutospacing="0" w:after="120" w:afterAutospacing="0"/>
              <w:ind w:left="120" w:right="120"/>
              <w:jc w:val="both"/>
              <w:rPr>
                <w:color w:val="000000"/>
              </w:rPr>
            </w:pPr>
            <w:proofErr w:type="gramStart"/>
            <w:r w:rsidRPr="00296A34">
              <w:rPr>
                <w:color w:val="000000"/>
              </w:rPr>
              <w:t>24°)</w:t>
            </w:r>
            <w:proofErr w:type="gramEnd"/>
            <w:r w:rsidRPr="00296A34">
              <w:rPr>
                <w:color w:val="000000"/>
              </w:rPr>
              <w:t xml:space="preserve"> Não será permitida a subcontratação total ou parcial do serviço de gerenciamento de arbitragem esportiva do Contrato a outra empresa.</w:t>
            </w:r>
          </w:p>
          <w:p w:rsidR="00296A34" w:rsidRDefault="00296A34" w:rsidP="00A40698">
            <w:pPr>
              <w:pStyle w:val="centralizadotimbresecretaria"/>
              <w:spacing w:before="0" w:beforeAutospacing="0" w:after="0" w:afterAutospacing="0"/>
              <w:jc w:val="center"/>
              <w:rPr>
                <w:rStyle w:val="Forte"/>
                <w:rFonts w:ascii="Calibri" w:hAnsi="Calibri"/>
                <w:color w:val="000000"/>
                <w:sz w:val="26"/>
                <w:szCs w:val="26"/>
                <w:u w:val="single"/>
              </w:rPr>
            </w:pPr>
          </w:p>
        </w:tc>
      </w:tr>
    </w:tbl>
    <w:p w:rsidR="00296A34" w:rsidRPr="00296A34" w:rsidRDefault="00296A34">
      <w:pPr>
        <w:rPr>
          <w:lang w:val="pt-BR"/>
        </w:rPr>
      </w:pPr>
    </w:p>
    <w:tbl>
      <w:tblPr>
        <w:tblW w:w="984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841"/>
      </w:tblGrid>
      <w:tr w:rsidR="00296A34" w:rsidRPr="00B510C6" w:rsidTr="00296A34">
        <w:trPr>
          <w:tblCellSpacing w:w="15" w:type="dxa"/>
        </w:trPr>
        <w:tc>
          <w:tcPr>
            <w:tcW w:w="9781" w:type="dxa"/>
            <w:tcBorders>
              <w:top w:val="outset" w:sz="6" w:space="0" w:color="auto"/>
              <w:left w:val="outset" w:sz="6" w:space="0" w:color="auto"/>
              <w:bottom w:val="outset" w:sz="6" w:space="0" w:color="auto"/>
              <w:right w:val="outset" w:sz="6" w:space="0" w:color="auto"/>
            </w:tcBorders>
            <w:vAlign w:val="center"/>
          </w:tcPr>
          <w:p w:rsidR="00296A34" w:rsidRDefault="00296A34" w:rsidP="00A40698">
            <w:pPr>
              <w:pStyle w:val="centralizadotimbresecretaria"/>
              <w:spacing w:before="0" w:beforeAutospacing="0" w:after="0" w:afterAutospacing="0"/>
              <w:jc w:val="center"/>
              <w:rPr>
                <w:rStyle w:val="Forte"/>
                <w:rFonts w:ascii="Calibri" w:hAnsi="Calibri"/>
                <w:color w:val="000000"/>
                <w:sz w:val="26"/>
                <w:szCs w:val="26"/>
                <w:u w:val="single"/>
              </w:rPr>
            </w:pPr>
          </w:p>
          <w:p w:rsidR="0034142D" w:rsidRPr="0034142D" w:rsidRDefault="0034142D" w:rsidP="0034142D">
            <w:pPr>
              <w:pStyle w:val="centralizadotimbresecretaria"/>
              <w:spacing w:before="0" w:beforeAutospacing="0" w:after="0" w:afterAutospacing="0"/>
              <w:ind w:left="142" w:right="82"/>
              <w:jc w:val="center"/>
              <w:rPr>
                <w:color w:val="000000"/>
              </w:rPr>
            </w:pPr>
            <w:r w:rsidRPr="0034142D">
              <w:rPr>
                <w:rStyle w:val="Forte"/>
                <w:color w:val="000000"/>
              </w:rPr>
              <w:t>ANEXO V</w:t>
            </w:r>
          </w:p>
          <w:p w:rsidR="0034142D" w:rsidRPr="0034142D" w:rsidRDefault="0034142D" w:rsidP="0034142D">
            <w:pPr>
              <w:pStyle w:val="centralizadotimbresecretaria"/>
              <w:spacing w:before="0" w:beforeAutospacing="0" w:after="0" w:afterAutospacing="0"/>
              <w:ind w:left="142" w:right="82"/>
              <w:jc w:val="center"/>
              <w:rPr>
                <w:color w:val="000000"/>
              </w:rPr>
            </w:pPr>
            <w:r w:rsidRPr="0034142D">
              <w:rPr>
                <w:color w:val="000000"/>
              </w:rPr>
              <w:t> </w:t>
            </w:r>
          </w:p>
          <w:p w:rsidR="0034142D" w:rsidRPr="0034142D" w:rsidRDefault="0034142D" w:rsidP="0034142D">
            <w:pPr>
              <w:pStyle w:val="centralizadotimbresecretaria"/>
              <w:spacing w:before="0" w:beforeAutospacing="0" w:after="0" w:afterAutospacing="0"/>
              <w:ind w:left="142" w:right="82"/>
              <w:jc w:val="center"/>
              <w:rPr>
                <w:color w:val="000000"/>
              </w:rPr>
            </w:pPr>
            <w:r w:rsidRPr="0034142D">
              <w:rPr>
                <w:rStyle w:val="Forte"/>
                <w:color w:val="000000"/>
                <w:u w:val="single"/>
              </w:rPr>
              <w:t>OBSERVAÇÕES REFERENTES Á MEDIÇÃO E PAGAMENTO DOS SERVIÇOS</w:t>
            </w:r>
          </w:p>
          <w:p w:rsidR="0034142D" w:rsidRPr="0034142D" w:rsidRDefault="0034142D" w:rsidP="0034142D">
            <w:pPr>
              <w:pStyle w:val="textojustificado"/>
              <w:numPr>
                <w:ilvl w:val="0"/>
                <w:numId w:val="9"/>
              </w:numPr>
              <w:spacing w:before="120" w:beforeAutospacing="0" w:after="120" w:afterAutospacing="0"/>
              <w:ind w:left="142" w:right="82" w:firstLine="0"/>
              <w:jc w:val="both"/>
              <w:rPr>
                <w:color w:val="000000"/>
              </w:rPr>
            </w:pPr>
            <w:r w:rsidRPr="0034142D">
              <w:rPr>
                <w:color w:val="000000"/>
              </w:rPr>
              <w:t>A comunicação por parte da </w:t>
            </w:r>
            <w:r w:rsidRPr="0034142D">
              <w:rPr>
                <w:rStyle w:val="Forte"/>
                <w:color w:val="000000"/>
              </w:rPr>
              <w:t>CONTRATANTE</w:t>
            </w:r>
            <w:r w:rsidRPr="0034142D">
              <w:rPr>
                <w:color w:val="000000"/>
              </w:rPr>
              <w:t> de transferência ou cancelamento de jogos, feita com antecedência mínima de </w:t>
            </w:r>
            <w:r w:rsidRPr="0034142D">
              <w:rPr>
                <w:rStyle w:val="Forte"/>
                <w:color w:val="000000"/>
              </w:rPr>
              <w:t>48 horas do horário da partida,</w:t>
            </w:r>
            <w:r w:rsidRPr="0034142D">
              <w:rPr>
                <w:color w:val="000000"/>
              </w:rPr>
              <w:t> isentará a Secretaria Municipal de Esportes, Lazer o de qualquer ônus;</w:t>
            </w:r>
          </w:p>
          <w:p w:rsidR="0034142D" w:rsidRPr="0034142D" w:rsidRDefault="0034142D" w:rsidP="0034142D">
            <w:pPr>
              <w:pStyle w:val="textojustificado"/>
              <w:numPr>
                <w:ilvl w:val="0"/>
                <w:numId w:val="10"/>
              </w:numPr>
              <w:spacing w:before="120" w:beforeAutospacing="0" w:after="120" w:afterAutospacing="0"/>
              <w:ind w:left="142" w:right="82" w:firstLine="0"/>
              <w:jc w:val="both"/>
              <w:rPr>
                <w:color w:val="000000"/>
              </w:rPr>
            </w:pPr>
            <w:r w:rsidRPr="0034142D">
              <w:rPr>
                <w:color w:val="000000"/>
              </w:rPr>
              <w:t>A comunicação de cancelamento de jogos, </w:t>
            </w:r>
            <w:r w:rsidRPr="0034142D">
              <w:rPr>
                <w:rStyle w:val="Forte"/>
                <w:color w:val="000000"/>
              </w:rPr>
              <w:t>feita com menos de 36 horas de antecedência,</w:t>
            </w:r>
            <w:r w:rsidRPr="0034142D">
              <w:rPr>
                <w:color w:val="000000"/>
              </w:rPr>
              <w:t> implicará no pagamento de 50% (cinquenta inteiros por cento inteiros) sobre o valor de uma partida;</w:t>
            </w:r>
          </w:p>
          <w:p w:rsidR="0034142D" w:rsidRPr="0034142D" w:rsidRDefault="0034142D" w:rsidP="0034142D">
            <w:pPr>
              <w:pStyle w:val="textojustificado"/>
              <w:numPr>
                <w:ilvl w:val="0"/>
                <w:numId w:val="11"/>
              </w:numPr>
              <w:spacing w:before="120" w:beforeAutospacing="0" w:after="120" w:afterAutospacing="0"/>
              <w:ind w:left="142" w:right="82" w:firstLine="0"/>
              <w:jc w:val="both"/>
              <w:rPr>
                <w:color w:val="000000"/>
              </w:rPr>
            </w:pPr>
            <w:r w:rsidRPr="0034142D">
              <w:rPr>
                <w:color w:val="000000"/>
              </w:rPr>
              <w:t>O </w:t>
            </w:r>
            <w:r w:rsidRPr="0034142D">
              <w:rPr>
                <w:rStyle w:val="Forte"/>
                <w:color w:val="000000"/>
              </w:rPr>
              <w:t>cancelamento </w:t>
            </w:r>
            <w:r w:rsidRPr="0034142D">
              <w:rPr>
                <w:rStyle w:val="nfase"/>
                <w:b/>
                <w:bCs/>
                <w:color w:val="000000"/>
                <w:u w:val="single"/>
              </w:rPr>
              <w:t>no local do jogo</w:t>
            </w:r>
            <w:r w:rsidRPr="0034142D">
              <w:rPr>
                <w:color w:val="000000"/>
              </w:rPr>
              <w:t>, </w:t>
            </w:r>
            <w:r w:rsidRPr="0034142D">
              <w:rPr>
                <w:rStyle w:val="Forte"/>
                <w:color w:val="000000"/>
              </w:rPr>
              <w:t>por motivos alheios a empresa de gerenciamento de serviços de arbitragem</w:t>
            </w:r>
            <w:r w:rsidRPr="0034142D">
              <w:rPr>
                <w:color w:val="000000"/>
              </w:rPr>
              <w:t>, desde que registrado pelo representante da organização do evento e </w:t>
            </w:r>
            <w:r w:rsidRPr="0034142D">
              <w:rPr>
                <w:rStyle w:val="Forte"/>
                <w:color w:val="000000"/>
              </w:rPr>
              <w:t>devidamente autorizado</w:t>
            </w:r>
            <w:r w:rsidRPr="0034142D">
              <w:rPr>
                <w:color w:val="000000"/>
              </w:rPr>
              <w:t> </w:t>
            </w:r>
            <w:r w:rsidRPr="0034142D">
              <w:rPr>
                <w:rStyle w:val="Forte"/>
                <w:color w:val="000000"/>
              </w:rPr>
              <w:t>pela Coordenação do Campeonato/Evento</w:t>
            </w:r>
            <w:r w:rsidRPr="0034142D">
              <w:rPr>
                <w:color w:val="000000"/>
              </w:rPr>
              <w:t>, implicará no pagamento de 100% (cem por cento inteiros) sobre o valor de uma partida;</w:t>
            </w:r>
          </w:p>
          <w:p w:rsidR="0034142D" w:rsidRPr="0034142D" w:rsidRDefault="0034142D" w:rsidP="0034142D">
            <w:pPr>
              <w:pStyle w:val="textojustificado"/>
              <w:numPr>
                <w:ilvl w:val="0"/>
                <w:numId w:val="12"/>
              </w:numPr>
              <w:spacing w:before="120" w:beforeAutospacing="0" w:after="120" w:afterAutospacing="0"/>
              <w:ind w:left="142" w:right="82" w:firstLine="0"/>
              <w:jc w:val="both"/>
              <w:rPr>
                <w:color w:val="000000"/>
              </w:rPr>
            </w:pPr>
            <w:r w:rsidRPr="0034142D">
              <w:rPr>
                <w:color w:val="000000"/>
              </w:rPr>
              <w:t>O </w:t>
            </w:r>
            <w:r w:rsidRPr="0034142D">
              <w:rPr>
                <w:rStyle w:val="Forte"/>
                <w:color w:val="000000"/>
              </w:rPr>
              <w:t>cancelamento no local do jogo</w:t>
            </w:r>
            <w:r w:rsidRPr="0034142D">
              <w:rPr>
                <w:color w:val="000000"/>
              </w:rPr>
              <w:t>, </w:t>
            </w:r>
            <w:r w:rsidRPr="0034142D">
              <w:rPr>
                <w:rStyle w:val="Forte"/>
                <w:color w:val="000000"/>
              </w:rPr>
              <w:t>por motivos determinados pela empresa de gerenciamento de serviços de arbitragem</w:t>
            </w:r>
            <w:r w:rsidRPr="0034142D">
              <w:rPr>
                <w:color w:val="000000"/>
              </w:rPr>
              <w:t>, devidamente justificado na súmula e confirmado no Relatório do representante da organização do evento, implicará no pagamento de 75% (setenta e cinco por cento inteiros) sobre o valor da(s) partida(s), </w:t>
            </w:r>
            <w:r w:rsidRPr="0034142D">
              <w:rPr>
                <w:rStyle w:val="Forte"/>
                <w:color w:val="000000"/>
              </w:rPr>
              <w:t>desde que</w:t>
            </w:r>
            <w:r w:rsidRPr="0034142D">
              <w:rPr>
                <w:color w:val="000000"/>
              </w:rPr>
              <w:t>  </w:t>
            </w:r>
            <w:r w:rsidRPr="0034142D">
              <w:rPr>
                <w:rStyle w:val="Forte"/>
                <w:color w:val="000000"/>
              </w:rPr>
              <w:t>devidamente autorizado</w:t>
            </w:r>
            <w:r w:rsidRPr="0034142D">
              <w:rPr>
                <w:color w:val="000000"/>
              </w:rPr>
              <w:t> </w:t>
            </w:r>
            <w:r w:rsidRPr="0034142D">
              <w:rPr>
                <w:rStyle w:val="Forte"/>
                <w:color w:val="000000"/>
              </w:rPr>
              <w:t>pela Coordenação do Campeonato/Evento,</w:t>
            </w:r>
            <w:r w:rsidRPr="0034142D">
              <w:rPr>
                <w:color w:val="000000"/>
              </w:rPr>
              <w:t> </w:t>
            </w:r>
            <w:r w:rsidRPr="0034142D">
              <w:rPr>
                <w:color w:val="000000"/>
                <w:u w:val="single"/>
              </w:rPr>
              <w:t>mediante contato telefônico com a equipe de plantão da SEME e registro do nome do responsável pela autorização na súmula</w:t>
            </w:r>
            <w:r w:rsidRPr="0034142D">
              <w:rPr>
                <w:color w:val="000000"/>
              </w:rPr>
              <w:t>.</w:t>
            </w:r>
          </w:p>
          <w:p w:rsidR="0034142D" w:rsidRPr="0034142D" w:rsidRDefault="0034142D" w:rsidP="0034142D">
            <w:pPr>
              <w:pStyle w:val="textojustificado"/>
              <w:numPr>
                <w:ilvl w:val="0"/>
                <w:numId w:val="13"/>
              </w:numPr>
              <w:spacing w:before="120" w:beforeAutospacing="0" w:after="120" w:afterAutospacing="0"/>
              <w:ind w:left="142" w:right="82" w:firstLine="0"/>
              <w:jc w:val="both"/>
              <w:rPr>
                <w:color w:val="000000"/>
              </w:rPr>
            </w:pPr>
            <w:r w:rsidRPr="0034142D">
              <w:rPr>
                <w:color w:val="000000"/>
              </w:rPr>
              <w:t>O </w:t>
            </w:r>
            <w:r w:rsidRPr="0034142D">
              <w:rPr>
                <w:rStyle w:val="Forte"/>
                <w:color w:val="000000"/>
              </w:rPr>
              <w:t>cancelamento da partida ou rodada</w:t>
            </w:r>
            <w:r w:rsidRPr="0034142D">
              <w:rPr>
                <w:color w:val="000000"/>
              </w:rPr>
              <w:t>, </w:t>
            </w:r>
            <w:r w:rsidRPr="0034142D">
              <w:rPr>
                <w:rStyle w:val="Forte"/>
                <w:color w:val="000000"/>
              </w:rPr>
              <w:t>por motivos determinados pela empresa de gerenciamento de serviços de arbitragem, sem a concordância expressa do representante local e sem a autorização prévia da Coordenação do Campeonato/Evento isentará a Secretaria Municipal de Esportes e Lazer de quaisquer ônus e ainda poderá acarretar a adoção de sanções previstas no contrato.</w:t>
            </w:r>
          </w:p>
          <w:p w:rsidR="0034142D" w:rsidRPr="0034142D" w:rsidRDefault="0034142D" w:rsidP="0034142D">
            <w:pPr>
              <w:pStyle w:val="textojustificado"/>
              <w:numPr>
                <w:ilvl w:val="0"/>
                <w:numId w:val="14"/>
              </w:numPr>
              <w:spacing w:before="120" w:beforeAutospacing="0" w:after="120" w:afterAutospacing="0"/>
              <w:ind w:left="142" w:right="82" w:firstLine="0"/>
              <w:jc w:val="both"/>
              <w:rPr>
                <w:color w:val="000000"/>
              </w:rPr>
            </w:pPr>
            <w:r w:rsidRPr="0034142D">
              <w:rPr>
                <w:color w:val="000000"/>
              </w:rPr>
              <w:t>No caso de WO, o pagamento do valor integral da partida será devido somente se o representante da organização, no local da rodada, obtiver a autorização da </w:t>
            </w:r>
            <w:r w:rsidRPr="0034142D">
              <w:rPr>
                <w:rStyle w:val="Forte"/>
                <w:color w:val="000000"/>
              </w:rPr>
              <w:t>Coordenação do Campeonato/Evento</w:t>
            </w:r>
            <w:r w:rsidRPr="0034142D">
              <w:rPr>
                <w:color w:val="000000"/>
              </w:rPr>
              <w:t> (mediante contato telefônico), devendo constar da súmula e também do relatório desse representante o nome do plantonista da SEME responsável pela autorização.</w:t>
            </w:r>
          </w:p>
          <w:p w:rsidR="0034142D" w:rsidRPr="0034142D" w:rsidRDefault="0034142D" w:rsidP="0034142D">
            <w:pPr>
              <w:pStyle w:val="textojustificado"/>
              <w:spacing w:before="120" w:beforeAutospacing="0" w:after="120" w:afterAutospacing="0"/>
              <w:ind w:left="142" w:right="82"/>
              <w:jc w:val="both"/>
              <w:rPr>
                <w:color w:val="000000"/>
              </w:rPr>
            </w:pPr>
            <w:r w:rsidRPr="0034142D">
              <w:rPr>
                <w:color w:val="000000"/>
              </w:rPr>
              <w:t>Os nomes dos atletas, presentes no local </w:t>
            </w:r>
            <w:r w:rsidRPr="0034142D">
              <w:rPr>
                <w:rStyle w:val="Forte"/>
                <w:color w:val="000000"/>
              </w:rPr>
              <w:t>até o momento da decretação do WO</w:t>
            </w:r>
            <w:r w:rsidRPr="0034142D">
              <w:rPr>
                <w:color w:val="000000"/>
              </w:rPr>
              <w:t xml:space="preserve">, deverão constar na súmula (para isenção da penalidade prevista no Regulamento), </w:t>
            </w:r>
            <w:proofErr w:type="gramStart"/>
            <w:r w:rsidRPr="0034142D">
              <w:rPr>
                <w:color w:val="000000"/>
              </w:rPr>
              <w:t>sob pena</w:t>
            </w:r>
            <w:proofErr w:type="gramEnd"/>
            <w:r w:rsidRPr="0034142D">
              <w:rPr>
                <w:color w:val="000000"/>
              </w:rPr>
              <w:t xml:space="preserve"> de aplicação de multa por registro incompleto da arbitragem;</w:t>
            </w:r>
          </w:p>
          <w:p w:rsidR="00296A34" w:rsidRDefault="0034142D" w:rsidP="0034142D">
            <w:pPr>
              <w:pStyle w:val="textojustificado"/>
              <w:numPr>
                <w:ilvl w:val="0"/>
                <w:numId w:val="14"/>
              </w:numPr>
              <w:spacing w:before="120" w:beforeAutospacing="0" w:after="120" w:afterAutospacing="0"/>
              <w:ind w:left="142" w:right="82" w:firstLine="0"/>
              <w:jc w:val="both"/>
              <w:rPr>
                <w:rStyle w:val="Forte"/>
                <w:rFonts w:ascii="Calibri" w:hAnsi="Calibri"/>
                <w:color w:val="000000"/>
                <w:sz w:val="26"/>
                <w:szCs w:val="26"/>
                <w:u w:val="single"/>
              </w:rPr>
            </w:pPr>
            <w:r w:rsidRPr="0034142D">
              <w:rPr>
                <w:rStyle w:val="Forte"/>
                <w:color w:val="000000"/>
              </w:rPr>
              <w:t xml:space="preserve">Nos casos em que o WO for motivado ou determinado pela empresa de gerenciamento de serviços de arbitragem, sem a concordância expressa do representante local e sem a autorização prévia da Coordenação do Campeonato/Evento, isentará a Secretaria Municipal de Esportes e Lazer de quaisquer ônus e ainda poderá acarretar a adoção de sanções </w:t>
            </w:r>
            <w:r w:rsidRPr="0034142D">
              <w:rPr>
                <w:rStyle w:val="Forte"/>
                <w:color w:val="000000"/>
              </w:rPr>
              <w:lastRenderedPageBreak/>
              <w:t>previstas no contrato.</w:t>
            </w:r>
          </w:p>
        </w:tc>
      </w:tr>
    </w:tbl>
    <w:p w:rsidR="003D625E" w:rsidRDefault="003D625E" w:rsidP="009E39F8">
      <w:pPr>
        <w:rPr>
          <w:color w:val="000000"/>
          <w:lang w:val="pt-BR"/>
        </w:rPr>
      </w:pPr>
      <w:r w:rsidRPr="009E39F8">
        <w:rPr>
          <w:color w:val="000000"/>
          <w:lang w:val="pt-BR"/>
        </w:rPr>
        <w:lastRenderedPageBreak/>
        <w:t> </w:t>
      </w:r>
    </w:p>
    <w:p w:rsidR="00A57B9E" w:rsidRPr="009E39F8" w:rsidRDefault="00A57B9E" w:rsidP="009E39F8">
      <w:pPr>
        <w:rPr>
          <w:color w:val="000000"/>
          <w:lang w:val="pt-BR"/>
        </w:rPr>
      </w:pPr>
    </w:p>
    <w:tbl>
      <w:tblPr>
        <w:tblW w:w="99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51"/>
      </w:tblGrid>
      <w:tr w:rsidR="00A40698" w:rsidTr="00C73965">
        <w:trPr>
          <w:tblCellSpacing w:w="0" w:type="dxa"/>
        </w:trPr>
        <w:tc>
          <w:tcPr>
            <w:tcW w:w="9921" w:type="dxa"/>
            <w:tcBorders>
              <w:top w:val="outset" w:sz="6" w:space="0" w:color="auto"/>
              <w:left w:val="outset" w:sz="6" w:space="0" w:color="auto"/>
              <w:bottom w:val="outset" w:sz="6" w:space="0" w:color="auto"/>
              <w:right w:val="outset" w:sz="6" w:space="0" w:color="auto"/>
            </w:tcBorders>
            <w:noWrap/>
            <w:vAlign w:val="center"/>
            <w:hideMark/>
          </w:tcPr>
          <w:p w:rsidR="00A40698" w:rsidRPr="00D6043C" w:rsidRDefault="00A40698">
            <w:pPr>
              <w:pStyle w:val="tabelatextocentralizado"/>
              <w:spacing w:before="0" w:beforeAutospacing="0" w:after="0" w:afterAutospacing="0"/>
              <w:ind w:left="60" w:right="60"/>
              <w:jc w:val="center"/>
              <w:rPr>
                <w:color w:val="000000"/>
                <w:sz w:val="20"/>
                <w:szCs w:val="20"/>
              </w:rPr>
            </w:pPr>
            <w:bookmarkStart w:id="1" w:name="RANGE!A1:O48"/>
            <w:r w:rsidRPr="00D6043C">
              <w:rPr>
                <w:rStyle w:val="Forte"/>
                <w:color w:val="000000"/>
                <w:sz w:val="20"/>
                <w:szCs w:val="20"/>
              </w:rPr>
              <w:t>ANEXO - </w:t>
            </w:r>
            <w:bookmarkEnd w:id="1"/>
            <w:proofErr w:type="gramStart"/>
            <w:r w:rsidRPr="00D6043C">
              <w:rPr>
                <w:rStyle w:val="Forte"/>
                <w:color w:val="000000"/>
                <w:sz w:val="20"/>
                <w:szCs w:val="20"/>
              </w:rPr>
              <w:t>VI</w:t>
            </w:r>
            <w:proofErr w:type="gramEnd"/>
          </w:p>
        </w:tc>
      </w:tr>
      <w:tr w:rsidR="00A40698" w:rsidTr="00C73965">
        <w:trPr>
          <w:tblCellSpacing w:w="0" w:type="dxa"/>
        </w:trPr>
        <w:tc>
          <w:tcPr>
            <w:tcW w:w="9921" w:type="dxa"/>
            <w:tcBorders>
              <w:top w:val="outset" w:sz="6" w:space="0" w:color="auto"/>
              <w:left w:val="outset" w:sz="6" w:space="0" w:color="auto"/>
              <w:bottom w:val="outset" w:sz="6" w:space="0" w:color="auto"/>
              <w:right w:val="outset" w:sz="6" w:space="0" w:color="auto"/>
            </w:tcBorders>
            <w:noWrap/>
            <w:vAlign w:val="center"/>
            <w:hideMark/>
          </w:tcPr>
          <w:p w:rsidR="00A40698" w:rsidRPr="00D6043C" w:rsidRDefault="00A40698">
            <w:pPr>
              <w:pStyle w:val="tabelatextocentralizado"/>
              <w:spacing w:before="0" w:beforeAutospacing="0" w:after="0" w:afterAutospacing="0"/>
              <w:ind w:left="60" w:right="60"/>
              <w:jc w:val="center"/>
              <w:rPr>
                <w:color w:val="000000"/>
                <w:sz w:val="20"/>
                <w:szCs w:val="20"/>
              </w:rPr>
            </w:pPr>
            <w:r w:rsidRPr="00D6043C">
              <w:rPr>
                <w:rStyle w:val="Forte"/>
                <w:color w:val="000000"/>
                <w:sz w:val="20"/>
                <w:szCs w:val="20"/>
              </w:rPr>
              <w:t>LOTE ÚNICO</w:t>
            </w:r>
          </w:p>
        </w:tc>
      </w:tr>
      <w:tr w:rsidR="00A40698" w:rsidRPr="00B510C6" w:rsidTr="00C73965">
        <w:trPr>
          <w:tblCellSpacing w:w="0" w:type="dxa"/>
        </w:trPr>
        <w:tc>
          <w:tcPr>
            <w:tcW w:w="9921" w:type="dxa"/>
            <w:tcBorders>
              <w:top w:val="outset" w:sz="6" w:space="0" w:color="auto"/>
              <w:left w:val="outset" w:sz="6" w:space="0" w:color="auto"/>
              <w:bottom w:val="outset" w:sz="6" w:space="0" w:color="auto"/>
              <w:right w:val="outset" w:sz="6" w:space="0" w:color="auto"/>
            </w:tcBorders>
            <w:noWrap/>
            <w:vAlign w:val="center"/>
            <w:hideMark/>
          </w:tcPr>
          <w:p w:rsidR="00A40698" w:rsidRPr="00D6043C" w:rsidRDefault="00A40698">
            <w:pPr>
              <w:pStyle w:val="tabelatextocentralizado"/>
              <w:spacing w:before="0" w:beforeAutospacing="0" w:after="0" w:afterAutospacing="0"/>
              <w:ind w:left="60" w:right="60"/>
              <w:jc w:val="center"/>
              <w:rPr>
                <w:color w:val="000000"/>
                <w:sz w:val="20"/>
                <w:szCs w:val="20"/>
              </w:rPr>
            </w:pPr>
            <w:r w:rsidRPr="00D6043C">
              <w:rPr>
                <w:rStyle w:val="Forte"/>
                <w:color w:val="000000"/>
                <w:sz w:val="20"/>
                <w:szCs w:val="20"/>
              </w:rPr>
              <w:t>CRONOGRAMA ESTIMADO DE QUANTIDADE DE JOGOS</w:t>
            </w:r>
          </w:p>
        </w:tc>
      </w:tr>
    </w:tbl>
    <w:p w:rsidR="00A40698" w:rsidRPr="009608B1" w:rsidRDefault="00A40698" w:rsidP="00A40698">
      <w:pPr>
        <w:rPr>
          <w:vanish/>
          <w:lang w:val="pt-BR"/>
        </w:rPr>
      </w:pPr>
    </w:p>
    <w:p w:rsidR="0034142D" w:rsidRPr="009608B1" w:rsidRDefault="0034142D">
      <w:pPr>
        <w:rPr>
          <w:lang w:val="pt-BR"/>
        </w:rPr>
      </w:pPr>
    </w:p>
    <w:tbl>
      <w:tblPr>
        <w:tblW w:w="9978"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32"/>
        <w:gridCol w:w="652"/>
        <w:gridCol w:w="737"/>
        <w:gridCol w:w="652"/>
        <w:gridCol w:w="652"/>
        <w:gridCol w:w="652"/>
        <w:gridCol w:w="652"/>
        <w:gridCol w:w="652"/>
        <w:gridCol w:w="652"/>
        <w:gridCol w:w="652"/>
        <w:gridCol w:w="652"/>
        <w:gridCol w:w="652"/>
        <w:gridCol w:w="737"/>
        <w:gridCol w:w="652"/>
      </w:tblGrid>
      <w:tr w:rsidR="00C73965" w:rsidTr="00C73965">
        <w:trPr>
          <w:tblCellSpacing w:w="7" w:type="dxa"/>
        </w:trPr>
        <w:tc>
          <w:tcPr>
            <w:tcW w:w="1311"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MODALIDADE</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ABR/18</w:t>
            </w:r>
          </w:p>
        </w:tc>
        <w:tc>
          <w:tcPr>
            <w:tcW w:w="723"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MAIO/18</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JUN/18</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JUL/18</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AGO/18</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SET/18</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OUT/18</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NOV/18</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DEZ/18</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JAN/19</w:t>
            </w:r>
          </w:p>
        </w:tc>
        <w:tc>
          <w:tcPr>
            <w:tcW w:w="638"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FEV/1</w:t>
            </w:r>
            <w:r w:rsidR="00C73965">
              <w:rPr>
                <w:rStyle w:val="Forte"/>
                <w:color w:val="000000"/>
                <w:sz w:val="16"/>
                <w:szCs w:val="16"/>
              </w:rPr>
              <w:t>9</w:t>
            </w:r>
          </w:p>
        </w:tc>
        <w:tc>
          <w:tcPr>
            <w:tcW w:w="723"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MAR/19</w:t>
            </w:r>
          </w:p>
        </w:tc>
        <w:tc>
          <w:tcPr>
            <w:tcW w:w="631"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rsidP="00C73965">
            <w:pPr>
              <w:pStyle w:val="tabelatextocentralizado"/>
              <w:spacing w:before="0" w:beforeAutospacing="0" w:after="0" w:afterAutospacing="0"/>
              <w:jc w:val="center"/>
              <w:rPr>
                <w:color w:val="000000"/>
                <w:sz w:val="16"/>
                <w:szCs w:val="16"/>
              </w:rPr>
            </w:pPr>
            <w:r w:rsidRPr="0034142D">
              <w:rPr>
                <w:rStyle w:val="Forte"/>
                <w:color w:val="000000"/>
                <w:sz w:val="16"/>
                <w:szCs w:val="16"/>
              </w:rPr>
              <w:t>TOTAL</w:t>
            </w:r>
          </w:p>
        </w:tc>
      </w:tr>
      <w:tr w:rsidR="00C73965" w:rsidTr="00D6043C">
        <w:trPr>
          <w:tblCellSpacing w:w="7" w:type="dxa"/>
        </w:trPr>
        <w:tc>
          <w:tcPr>
            <w:tcW w:w="1311" w:type="dxa"/>
            <w:tcBorders>
              <w:top w:val="outset" w:sz="6" w:space="0" w:color="auto"/>
              <w:left w:val="outset" w:sz="6" w:space="0" w:color="auto"/>
              <w:bottom w:val="outset" w:sz="6" w:space="0" w:color="auto"/>
              <w:right w:val="outset" w:sz="6" w:space="0" w:color="auto"/>
            </w:tcBorders>
            <w:vAlign w:val="center"/>
            <w:hideMark/>
          </w:tcPr>
          <w:p w:rsidR="0034142D" w:rsidRDefault="00A40698">
            <w:pPr>
              <w:pStyle w:val="tabelatextocentralizado"/>
              <w:spacing w:before="0" w:beforeAutospacing="0" w:after="0" w:afterAutospacing="0"/>
              <w:ind w:left="60" w:right="60"/>
              <w:jc w:val="center"/>
              <w:rPr>
                <w:rStyle w:val="Forte"/>
                <w:color w:val="000000"/>
                <w:sz w:val="18"/>
                <w:szCs w:val="18"/>
              </w:rPr>
            </w:pPr>
            <w:r w:rsidRPr="0034142D">
              <w:rPr>
                <w:rStyle w:val="Forte"/>
                <w:color w:val="000000"/>
                <w:sz w:val="18"/>
                <w:szCs w:val="18"/>
              </w:rPr>
              <w:t>Basquete</w:t>
            </w:r>
          </w:p>
          <w:p w:rsidR="00A40698" w:rsidRPr="0034142D" w:rsidRDefault="00A40698">
            <w:pPr>
              <w:pStyle w:val="tabelatextocentralizado"/>
              <w:spacing w:before="0" w:beforeAutospacing="0" w:after="0" w:afterAutospacing="0"/>
              <w:ind w:left="60" w:right="60"/>
              <w:jc w:val="center"/>
              <w:rPr>
                <w:color w:val="000000"/>
                <w:sz w:val="18"/>
                <w:szCs w:val="18"/>
              </w:rPr>
            </w:pPr>
            <w:r w:rsidRPr="0034142D">
              <w:rPr>
                <w:rStyle w:val="Forte"/>
                <w:color w:val="000000"/>
                <w:sz w:val="18"/>
                <w:szCs w:val="18"/>
              </w:rPr>
              <w:t xml:space="preserve"> Sub 11</w:t>
            </w: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1" w:type="dxa"/>
            <w:tcBorders>
              <w:top w:val="outset" w:sz="6" w:space="0" w:color="auto"/>
              <w:left w:val="outset" w:sz="6" w:space="0" w:color="auto"/>
              <w:bottom w:val="outset" w:sz="6" w:space="0" w:color="auto"/>
              <w:right w:val="outset" w:sz="6" w:space="0" w:color="auto"/>
            </w:tcBorders>
            <w:vAlign w:val="center"/>
          </w:tcPr>
          <w:p w:rsidR="00A40698" w:rsidRDefault="00A40698">
            <w:pPr>
              <w:pStyle w:val="tabelatextocentralizado"/>
              <w:spacing w:before="0" w:beforeAutospacing="0" w:after="0" w:afterAutospacing="0"/>
              <w:ind w:left="60" w:right="60"/>
              <w:jc w:val="center"/>
              <w:rPr>
                <w:rFonts w:ascii="Calibri" w:hAnsi="Calibri"/>
                <w:color w:val="000000"/>
                <w:sz w:val="22"/>
                <w:szCs w:val="22"/>
              </w:rPr>
            </w:pPr>
          </w:p>
        </w:tc>
      </w:tr>
      <w:tr w:rsidR="00C73965" w:rsidTr="00D6043C">
        <w:trPr>
          <w:tblCellSpacing w:w="7" w:type="dxa"/>
        </w:trPr>
        <w:tc>
          <w:tcPr>
            <w:tcW w:w="1311" w:type="dxa"/>
            <w:tcBorders>
              <w:top w:val="outset" w:sz="6" w:space="0" w:color="auto"/>
              <w:left w:val="outset" w:sz="6" w:space="0" w:color="auto"/>
              <w:bottom w:val="outset" w:sz="6" w:space="0" w:color="auto"/>
              <w:right w:val="outset" w:sz="6" w:space="0" w:color="auto"/>
            </w:tcBorders>
            <w:vAlign w:val="center"/>
            <w:hideMark/>
          </w:tcPr>
          <w:p w:rsidR="0034142D" w:rsidRDefault="00A40698">
            <w:pPr>
              <w:pStyle w:val="tabelatextocentralizado"/>
              <w:spacing w:before="0" w:beforeAutospacing="0" w:after="0" w:afterAutospacing="0"/>
              <w:ind w:left="60" w:right="60"/>
              <w:jc w:val="center"/>
              <w:rPr>
                <w:rStyle w:val="Forte"/>
                <w:color w:val="000000"/>
                <w:sz w:val="18"/>
                <w:szCs w:val="18"/>
              </w:rPr>
            </w:pPr>
            <w:r w:rsidRPr="0034142D">
              <w:rPr>
                <w:rStyle w:val="Forte"/>
                <w:color w:val="000000"/>
                <w:sz w:val="18"/>
                <w:szCs w:val="18"/>
              </w:rPr>
              <w:t xml:space="preserve">Basquete </w:t>
            </w:r>
          </w:p>
          <w:p w:rsidR="00A40698" w:rsidRPr="0034142D" w:rsidRDefault="00A40698">
            <w:pPr>
              <w:pStyle w:val="tabelatextocentralizado"/>
              <w:spacing w:before="0" w:beforeAutospacing="0" w:after="0" w:afterAutospacing="0"/>
              <w:ind w:left="60" w:right="60"/>
              <w:jc w:val="center"/>
              <w:rPr>
                <w:color w:val="000000"/>
                <w:sz w:val="18"/>
                <w:szCs w:val="18"/>
              </w:rPr>
            </w:pPr>
            <w:r w:rsidRPr="0034142D">
              <w:rPr>
                <w:rStyle w:val="Forte"/>
                <w:color w:val="000000"/>
                <w:sz w:val="18"/>
                <w:szCs w:val="18"/>
              </w:rPr>
              <w:t>Sub 13</w:t>
            </w: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1" w:type="dxa"/>
            <w:tcBorders>
              <w:top w:val="outset" w:sz="6" w:space="0" w:color="auto"/>
              <w:left w:val="outset" w:sz="6" w:space="0" w:color="auto"/>
              <w:bottom w:val="outset" w:sz="6" w:space="0" w:color="auto"/>
              <w:right w:val="outset" w:sz="6" w:space="0" w:color="auto"/>
            </w:tcBorders>
            <w:vAlign w:val="center"/>
          </w:tcPr>
          <w:p w:rsidR="00A40698" w:rsidRDefault="00A40698">
            <w:pPr>
              <w:pStyle w:val="tabelatextocentralizado"/>
              <w:spacing w:before="0" w:beforeAutospacing="0" w:after="0" w:afterAutospacing="0"/>
              <w:ind w:left="60" w:right="60"/>
              <w:jc w:val="center"/>
              <w:rPr>
                <w:rFonts w:ascii="Calibri" w:hAnsi="Calibri"/>
                <w:color w:val="000000"/>
                <w:sz w:val="22"/>
                <w:szCs w:val="22"/>
              </w:rPr>
            </w:pPr>
          </w:p>
        </w:tc>
      </w:tr>
      <w:tr w:rsidR="00C73965" w:rsidTr="00D6043C">
        <w:trPr>
          <w:tblCellSpacing w:w="7" w:type="dxa"/>
        </w:trPr>
        <w:tc>
          <w:tcPr>
            <w:tcW w:w="1311" w:type="dxa"/>
            <w:tcBorders>
              <w:top w:val="outset" w:sz="6" w:space="0" w:color="auto"/>
              <w:left w:val="outset" w:sz="6" w:space="0" w:color="auto"/>
              <w:bottom w:val="outset" w:sz="6" w:space="0" w:color="auto"/>
              <w:right w:val="outset" w:sz="6" w:space="0" w:color="auto"/>
            </w:tcBorders>
            <w:vAlign w:val="center"/>
            <w:hideMark/>
          </w:tcPr>
          <w:p w:rsidR="0034142D" w:rsidRDefault="00A40698">
            <w:pPr>
              <w:pStyle w:val="tabelatextocentralizado"/>
              <w:spacing w:before="0" w:beforeAutospacing="0" w:after="0" w:afterAutospacing="0"/>
              <w:ind w:left="60" w:right="60"/>
              <w:jc w:val="center"/>
              <w:rPr>
                <w:rStyle w:val="Forte"/>
                <w:color w:val="000000"/>
                <w:sz w:val="18"/>
                <w:szCs w:val="18"/>
              </w:rPr>
            </w:pPr>
            <w:r w:rsidRPr="0034142D">
              <w:rPr>
                <w:rStyle w:val="Forte"/>
                <w:color w:val="000000"/>
                <w:sz w:val="18"/>
                <w:szCs w:val="18"/>
              </w:rPr>
              <w:t xml:space="preserve">Basquete </w:t>
            </w:r>
          </w:p>
          <w:p w:rsidR="00A40698" w:rsidRPr="0034142D" w:rsidRDefault="00A40698">
            <w:pPr>
              <w:pStyle w:val="tabelatextocentralizado"/>
              <w:spacing w:before="0" w:beforeAutospacing="0" w:after="0" w:afterAutospacing="0"/>
              <w:ind w:left="60" w:right="60"/>
              <w:jc w:val="center"/>
              <w:rPr>
                <w:color w:val="000000"/>
                <w:sz w:val="18"/>
                <w:szCs w:val="18"/>
              </w:rPr>
            </w:pPr>
            <w:r w:rsidRPr="0034142D">
              <w:rPr>
                <w:rStyle w:val="Forte"/>
                <w:color w:val="000000"/>
                <w:sz w:val="18"/>
                <w:szCs w:val="18"/>
              </w:rPr>
              <w:t>Sub 15</w:t>
            </w: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1" w:type="dxa"/>
            <w:tcBorders>
              <w:top w:val="outset" w:sz="6" w:space="0" w:color="auto"/>
              <w:left w:val="outset" w:sz="6" w:space="0" w:color="auto"/>
              <w:bottom w:val="outset" w:sz="6" w:space="0" w:color="auto"/>
              <w:right w:val="outset" w:sz="6" w:space="0" w:color="auto"/>
            </w:tcBorders>
            <w:vAlign w:val="center"/>
          </w:tcPr>
          <w:p w:rsidR="00A40698" w:rsidRDefault="00A40698">
            <w:pPr>
              <w:pStyle w:val="tabelatextocentralizado"/>
              <w:spacing w:before="0" w:beforeAutospacing="0" w:after="0" w:afterAutospacing="0"/>
              <w:ind w:left="60" w:right="60"/>
              <w:jc w:val="center"/>
              <w:rPr>
                <w:rFonts w:ascii="Calibri" w:hAnsi="Calibri"/>
                <w:color w:val="000000"/>
                <w:sz w:val="22"/>
                <w:szCs w:val="22"/>
              </w:rPr>
            </w:pPr>
          </w:p>
        </w:tc>
      </w:tr>
      <w:tr w:rsidR="00C73965" w:rsidTr="00D6043C">
        <w:trPr>
          <w:tblCellSpacing w:w="7" w:type="dxa"/>
        </w:trPr>
        <w:tc>
          <w:tcPr>
            <w:tcW w:w="1311" w:type="dxa"/>
            <w:tcBorders>
              <w:top w:val="outset" w:sz="6" w:space="0" w:color="auto"/>
              <w:left w:val="outset" w:sz="6" w:space="0" w:color="auto"/>
              <w:bottom w:val="outset" w:sz="6" w:space="0" w:color="auto"/>
              <w:right w:val="outset" w:sz="6" w:space="0" w:color="auto"/>
            </w:tcBorders>
            <w:vAlign w:val="center"/>
            <w:hideMark/>
          </w:tcPr>
          <w:p w:rsidR="0034142D" w:rsidRDefault="00A40698">
            <w:pPr>
              <w:pStyle w:val="tabelatextocentralizado"/>
              <w:spacing w:before="0" w:beforeAutospacing="0" w:after="0" w:afterAutospacing="0"/>
              <w:ind w:left="60" w:right="60"/>
              <w:jc w:val="center"/>
              <w:rPr>
                <w:rStyle w:val="Forte"/>
                <w:color w:val="000000"/>
                <w:sz w:val="18"/>
                <w:szCs w:val="18"/>
              </w:rPr>
            </w:pPr>
            <w:r w:rsidRPr="0034142D">
              <w:rPr>
                <w:rStyle w:val="Forte"/>
                <w:color w:val="000000"/>
                <w:sz w:val="18"/>
                <w:szCs w:val="18"/>
              </w:rPr>
              <w:t xml:space="preserve">Basquete </w:t>
            </w:r>
          </w:p>
          <w:p w:rsidR="00A40698" w:rsidRPr="0034142D" w:rsidRDefault="00A40698">
            <w:pPr>
              <w:pStyle w:val="tabelatextocentralizado"/>
              <w:spacing w:before="0" w:beforeAutospacing="0" w:after="0" w:afterAutospacing="0"/>
              <w:ind w:left="60" w:right="60"/>
              <w:jc w:val="center"/>
              <w:rPr>
                <w:color w:val="000000"/>
                <w:sz w:val="18"/>
                <w:szCs w:val="18"/>
              </w:rPr>
            </w:pPr>
            <w:r w:rsidRPr="0034142D">
              <w:rPr>
                <w:rStyle w:val="Forte"/>
                <w:color w:val="000000"/>
                <w:sz w:val="18"/>
                <w:szCs w:val="18"/>
              </w:rPr>
              <w:t>Sub 17</w:t>
            </w: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1" w:type="dxa"/>
            <w:tcBorders>
              <w:top w:val="outset" w:sz="6" w:space="0" w:color="auto"/>
              <w:left w:val="outset" w:sz="6" w:space="0" w:color="auto"/>
              <w:bottom w:val="outset" w:sz="6" w:space="0" w:color="auto"/>
              <w:right w:val="outset" w:sz="6" w:space="0" w:color="auto"/>
            </w:tcBorders>
            <w:vAlign w:val="center"/>
          </w:tcPr>
          <w:p w:rsidR="00A40698" w:rsidRDefault="00A40698">
            <w:pPr>
              <w:pStyle w:val="tabelatextocentralizado"/>
              <w:spacing w:before="0" w:beforeAutospacing="0" w:after="0" w:afterAutospacing="0"/>
              <w:ind w:left="60" w:right="60"/>
              <w:jc w:val="center"/>
              <w:rPr>
                <w:rFonts w:ascii="Calibri" w:hAnsi="Calibri"/>
                <w:color w:val="000000"/>
                <w:sz w:val="22"/>
                <w:szCs w:val="22"/>
              </w:rPr>
            </w:pPr>
          </w:p>
        </w:tc>
      </w:tr>
      <w:tr w:rsidR="00C73965" w:rsidTr="00D6043C">
        <w:trPr>
          <w:tblCellSpacing w:w="7" w:type="dxa"/>
        </w:trPr>
        <w:tc>
          <w:tcPr>
            <w:tcW w:w="1311"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pPr>
              <w:pStyle w:val="tabelatextocentralizado"/>
              <w:spacing w:before="0" w:beforeAutospacing="0" w:after="0" w:afterAutospacing="0"/>
              <w:ind w:left="60" w:right="60"/>
              <w:jc w:val="center"/>
              <w:rPr>
                <w:color w:val="000000"/>
                <w:sz w:val="18"/>
                <w:szCs w:val="18"/>
              </w:rPr>
            </w:pPr>
            <w:r w:rsidRPr="0034142D">
              <w:rPr>
                <w:rStyle w:val="Forte"/>
                <w:color w:val="000000"/>
                <w:sz w:val="18"/>
                <w:szCs w:val="18"/>
              </w:rPr>
              <w:t>Basquete Adulto</w:t>
            </w: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8"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723" w:type="dxa"/>
            <w:tcBorders>
              <w:top w:val="outset" w:sz="6" w:space="0" w:color="auto"/>
              <w:left w:val="outset" w:sz="6" w:space="0" w:color="auto"/>
              <w:bottom w:val="outset" w:sz="6" w:space="0" w:color="auto"/>
              <w:right w:val="outset" w:sz="6" w:space="0" w:color="auto"/>
            </w:tcBorders>
            <w:vAlign w:val="center"/>
          </w:tcPr>
          <w:p w:rsidR="00A40698" w:rsidRPr="0034142D" w:rsidRDefault="00A40698">
            <w:pPr>
              <w:pStyle w:val="tabelatextocentralizado"/>
              <w:spacing w:before="0" w:beforeAutospacing="0" w:after="0" w:afterAutospacing="0"/>
              <w:ind w:left="60" w:right="60"/>
              <w:jc w:val="center"/>
              <w:rPr>
                <w:color w:val="000000"/>
                <w:sz w:val="18"/>
                <w:szCs w:val="18"/>
              </w:rPr>
            </w:pPr>
          </w:p>
        </w:tc>
        <w:tc>
          <w:tcPr>
            <w:tcW w:w="631" w:type="dxa"/>
            <w:tcBorders>
              <w:top w:val="outset" w:sz="6" w:space="0" w:color="auto"/>
              <w:left w:val="outset" w:sz="6" w:space="0" w:color="auto"/>
              <w:bottom w:val="outset" w:sz="6" w:space="0" w:color="auto"/>
              <w:right w:val="outset" w:sz="6" w:space="0" w:color="auto"/>
            </w:tcBorders>
            <w:vAlign w:val="center"/>
          </w:tcPr>
          <w:p w:rsidR="00A40698" w:rsidRDefault="00A40698">
            <w:pPr>
              <w:pStyle w:val="tabelatextocentralizado"/>
              <w:spacing w:before="0" w:beforeAutospacing="0" w:after="0" w:afterAutospacing="0"/>
              <w:ind w:left="60" w:right="60"/>
              <w:jc w:val="center"/>
              <w:rPr>
                <w:rFonts w:ascii="Calibri" w:hAnsi="Calibri"/>
                <w:color w:val="000000"/>
                <w:sz w:val="22"/>
                <w:szCs w:val="22"/>
              </w:rPr>
            </w:pPr>
          </w:p>
        </w:tc>
      </w:tr>
      <w:tr w:rsidR="0034142D" w:rsidRPr="00B510C6" w:rsidTr="00D6043C">
        <w:trPr>
          <w:tblCellSpacing w:w="7" w:type="dxa"/>
        </w:trPr>
        <w:tc>
          <w:tcPr>
            <w:tcW w:w="9305" w:type="dxa"/>
            <w:gridSpan w:val="13"/>
            <w:tcBorders>
              <w:top w:val="outset" w:sz="6" w:space="0" w:color="auto"/>
              <w:left w:val="outset" w:sz="6" w:space="0" w:color="auto"/>
              <w:bottom w:val="outset" w:sz="6" w:space="0" w:color="auto"/>
              <w:right w:val="outset" w:sz="6" w:space="0" w:color="auto"/>
            </w:tcBorders>
            <w:vAlign w:val="center"/>
            <w:hideMark/>
          </w:tcPr>
          <w:p w:rsidR="00A40698" w:rsidRPr="00D6043C" w:rsidRDefault="00A40698">
            <w:pPr>
              <w:pStyle w:val="tabelatextocentralizado"/>
              <w:spacing w:before="0" w:beforeAutospacing="0" w:after="0" w:afterAutospacing="0"/>
              <w:ind w:left="60" w:right="60"/>
              <w:jc w:val="center"/>
              <w:rPr>
                <w:color w:val="000000"/>
                <w:sz w:val="20"/>
                <w:szCs w:val="20"/>
              </w:rPr>
            </w:pPr>
            <w:r w:rsidRPr="00D6043C">
              <w:rPr>
                <w:rStyle w:val="Forte"/>
                <w:color w:val="000000"/>
                <w:sz w:val="20"/>
                <w:szCs w:val="20"/>
              </w:rPr>
              <w:t>TOTAL DO PERÍODO PARA O LOTE ÚNICO</w:t>
            </w:r>
          </w:p>
        </w:tc>
        <w:tc>
          <w:tcPr>
            <w:tcW w:w="631" w:type="dxa"/>
            <w:tcBorders>
              <w:top w:val="outset" w:sz="6" w:space="0" w:color="auto"/>
              <w:left w:val="outset" w:sz="6" w:space="0" w:color="auto"/>
              <w:bottom w:val="outset" w:sz="6" w:space="0" w:color="auto"/>
              <w:right w:val="outset" w:sz="6" w:space="0" w:color="auto"/>
            </w:tcBorders>
            <w:vAlign w:val="center"/>
            <w:hideMark/>
          </w:tcPr>
          <w:p w:rsidR="00A40698" w:rsidRPr="0034142D" w:rsidRDefault="00A40698">
            <w:pPr>
              <w:pStyle w:val="tabelatextocentralizado"/>
              <w:spacing w:before="0" w:beforeAutospacing="0" w:after="0" w:afterAutospacing="0"/>
              <w:ind w:left="60" w:right="60"/>
              <w:jc w:val="center"/>
              <w:rPr>
                <w:color w:val="000000"/>
                <w:sz w:val="16"/>
                <w:szCs w:val="16"/>
              </w:rPr>
            </w:pPr>
          </w:p>
        </w:tc>
      </w:tr>
    </w:tbl>
    <w:p w:rsidR="00FB1DA6" w:rsidRDefault="00FB1DA6" w:rsidP="009E39F8">
      <w:pPr>
        <w:pStyle w:val="Corpodetexto"/>
        <w:rPr>
          <w:rFonts w:ascii="Times New Roman" w:hAnsi="Times New Roman"/>
          <w:bCs/>
          <w:sz w:val="16"/>
          <w:szCs w:val="16"/>
        </w:rPr>
      </w:pPr>
    </w:p>
    <w:p w:rsidR="009608B1" w:rsidRPr="009608B1" w:rsidRDefault="009608B1" w:rsidP="009608B1">
      <w:pPr>
        <w:spacing w:line="276" w:lineRule="auto"/>
        <w:rPr>
          <w:u w:val="single"/>
          <w:lang w:val="pt-BR"/>
        </w:rPr>
      </w:pPr>
      <w:r w:rsidRPr="009608B1">
        <w:rPr>
          <w:b/>
          <w:u w:val="single"/>
          <w:lang w:val="pt-BR"/>
        </w:rPr>
        <w:t xml:space="preserve">*As Unidades interessadas deverão preencher o ANEXO VI - </w:t>
      </w:r>
      <w:r w:rsidRPr="009608B1">
        <w:rPr>
          <w:rStyle w:val="Forte"/>
          <w:b w:val="0"/>
          <w:color w:val="000000"/>
          <w:u w:val="single"/>
          <w:lang w:val="pt-BR"/>
        </w:rPr>
        <w:t>CRONOGRAMA</w:t>
      </w:r>
      <w:r w:rsidRPr="009608B1">
        <w:rPr>
          <w:rStyle w:val="Forte"/>
          <w:color w:val="000000"/>
          <w:u w:val="single"/>
          <w:lang w:val="pt-BR"/>
        </w:rPr>
        <w:t xml:space="preserve"> ESTIMADO DE QUANTIDADE DE JOGOS</w:t>
      </w:r>
    </w:p>
    <w:p w:rsidR="00D6043C" w:rsidRPr="009608B1" w:rsidRDefault="00D6043C" w:rsidP="009E39F8">
      <w:pPr>
        <w:pStyle w:val="Corpodetexto"/>
        <w:rPr>
          <w:rFonts w:ascii="Times New Roman" w:hAnsi="Times New Roman"/>
          <w:bCs/>
          <w:szCs w:val="24"/>
        </w:rPr>
      </w:pPr>
    </w:p>
    <w:p w:rsidR="00D6043C" w:rsidRPr="009608B1" w:rsidRDefault="00D6043C" w:rsidP="009E39F8">
      <w:pPr>
        <w:pStyle w:val="Corpodetexto"/>
        <w:rPr>
          <w:rFonts w:ascii="Times New Roman" w:hAnsi="Times New Roman"/>
          <w:bCs/>
          <w:szCs w:val="24"/>
        </w:rPr>
      </w:pPr>
    </w:p>
    <w:p w:rsidR="00FB1DA6" w:rsidRPr="009608B1" w:rsidRDefault="00FB1DA6" w:rsidP="00986243">
      <w:pPr>
        <w:pStyle w:val="Corpodetexto"/>
        <w:spacing w:line="276" w:lineRule="auto"/>
        <w:rPr>
          <w:rFonts w:ascii="Times New Roman" w:hAnsi="Times New Roman"/>
          <w:b/>
          <w:bCs/>
          <w:szCs w:val="24"/>
        </w:rPr>
      </w:pPr>
      <w:r w:rsidRPr="009608B1">
        <w:rPr>
          <w:rFonts w:ascii="Times New Roman" w:hAnsi="Times New Roman"/>
          <w:b/>
          <w:bCs/>
          <w:szCs w:val="24"/>
        </w:rPr>
        <w:t>Secretaria:</w:t>
      </w:r>
    </w:p>
    <w:p w:rsidR="00FB1DA6" w:rsidRPr="009608B1" w:rsidRDefault="00FB1DA6" w:rsidP="00986243">
      <w:pPr>
        <w:pStyle w:val="Corpodetexto"/>
        <w:spacing w:line="276" w:lineRule="auto"/>
        <w:rPr>
          <w:rFonts w:ascii="Times New Roman" w:hAnsi="Times New Roman"/>
          <w:b/>
          <w:bCs/>
          <w:szCs w:val="24"/>
        </w:rPr>
      </w:pPr>
      <w:r w:rsidRPr="009608B1">
        <w:rPr>
          <w:rFonts w:ascii="Times New Roman" w:hAnsi="Times New Roman"/>
          <w:b/>
          <w:bCs/>
          <w:szCs w:val="24"/>
        </w:rPr>
        <w:t>Unidade requisitante:</w:t>
      </w:r>
    </w:p>
    <w:p w:rsidR="00FB1DA6" w:rsidRPr="009608B1" w:rsidRDefault="00FB1DA6" w:rsidP="00986243">
      <w:pPr>
        <w:pStyle w:val="Corpodetexto"/>
        <w:spacing w:line="276" w:lineRule="auto"/>
        <w:rPr>
          <w:rFonts w:ascii="Times New Roman" w:hAnsi="Times New Roman"/>
          <w:b/>
          <w:bCs/>
          <w:szCs w:val="24"/>
        </w:rPr>
      </w:pPr>
      <w:r w:rsidRPr="009608B1">
        <w:rPr>
          <w:rFonts w:ascii="Times New Roman" w:hAnsi="Times New Roman"/>
          <w:b/>
          <w:bCs/>
          <w:szCs w:val="24"/>
        </w:rPr>
        <w:t>Responsável pela informação:</w:t>
      </w:r>
    </w:p>
    <w:p w:rsidR="00FB1DA6" w:rsidRPr="009608B1" w:rsidRDefault="00FB1DA6" w:rsidP="00986243">
      <w:pPr>
        <w:pStyle w:val="Corpodetexto"/>
        <w:spacing w:line="276" w:lineRule="auto"/>
        <w:rPr>
          <w:rFonts w:ascii="Times New Roman" w:hAnsi="Times New Roman"/>
          <w:szCs w:val="24"/>
        </w:rPr>
      </w:pPr>
      <w:r w:rsidRPr="009608B1">
        <w:rPr>
          <w:rFonts w:ascii="Times New Roman" w:hAnsi="Times New Roman"/>
          <w:b/>
          <w:bCs/>
          <w:szCs w:val="24"/>
        </w:rPr>
        <w:t>Telefone:</w:t>
      </w:r>
    </w:p>
    <w:sectPr w:rsidR="00FB1DA6" w:rsidRPr="009608B1" w:rsidSect="003E31C4">
      <w:footerReference w:type="default" r:id="rId12"/>
      <w:pgSz w:w="11906" w:h="16838" w:code="9"/>
      <w:pgMar w:top="709" w:right="849" w:bottom="426"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5E" w:rsidRDefault="003D625E">
      <w:r>
        <w:separator/>
      </w:r>
    </w:p>
  </w:endnote>
  <w:endnote w:type="continuationSeparator" w:id="0">
    <w:p w:rsidR="003D625E" w:rsidRDefault="003D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5E" w:rsidRPr="004D5A1E" w:rsidRDefault="003D625E" w:rsidP="00A3261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5E" w:rsidRDefault="003D625E">
      <w:r>
        <w:separator/>
      </w:r>
    </w:p>
  </w:footnote>
  <w:footnote w:type="continuationSeparator" w:id="0">
    <w:p w:rsidR="003D625E" w:rsidRDefault="003D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EE0"/>
    <w:multiLevelType w:val="multilevel"/>
    <w:tmpl w:val="207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3533E"/>
    <w:multiLevelType w:val="multilevel"/>
    <w:tmpl w:val="4DC0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07FA8"/>
    <w:multiLevelType w:val="multilevel"/>
    <w:tmpl w:val="2CD8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5C3406"/>
    <w:multiLevelType w:val="multilevel"/>
    <w:tmpl w:val="0D8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A0784"/>
    <w:multiLevelType w:val="multilevel"/>
    <w:tmpl w:val="0F80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A37DD6"/>
    <w:multiLevelType w:val="multilevel"/>
    <w:tmpl w:val="8082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1B16C1"/>
    <w:multiLevelType w:val="multilevel"/>
    <w:tmpl w:val="37F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43202"/>
    <w:multiLevelType w:val="multilevel"/>
    <w:tmpl w:val="54E0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70445"/>
    <w:multiLevelType w:val="multilevel"/>
    <w:tmpl w:val="FBA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8381D"/>
    <w:multiLevelType w:val="multilevel"/>
    <w:tmpl w:val="0470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64950"/>
    <w:multiLevelType w:val="multilevel"/>
    <w:tmpl w:val="96AC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5478E0"/>
    <w:multiLevelType w:val="multilevel"/>
    <w:tmpl w:val="1CDC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7F7C71"/>
    <w:multiLevelType w:val="multilevel"/>
    <w:tmpl w:val="992C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981D72"/>
    <w:multiLevelType w:val="multilevel"/>
    <w:tmpl w:val="9934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292FAA"/>
    <w:multiLevelType w:val="multilevel"/>
    <w:tmpl w:val="B6FC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3C1A42"/>
    <w:multiLevelType w:val="multilevel"/>
    <w:tmpl w:val="068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0359E"/>
    <w:multiLevelType w:val="multilevel"/>
    <w:tmpl w:val="6480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F3E39"/>
    <w:multiLevelType w:val="multilevel"/>
    <w:tmpl w:val="C12E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8D5854"/>
    <w:multiLevelType w:val="multilevel"/>
    <w:tmpl w:val="9A4A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FD4D48"/>
    <w:multiLevelType w:val="multilevel"/>
    <w:tmpl w:val="EEF2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7"/>
    </w:lvlOverride>
  </w:num>
  <w:num w:numId="2">
    <w:abstractNumId w:val="9"/>
  </w:num>
  <w:num w:numId="3">
    <w:abstractNumId w:val="19"/>
  </w:num>
  <w:num w:numId="4">
    <w:abstractNumId w:val="15"/>
  </w:num>
  <w:num w:numId="5">
    <w:abstractNumId w:val="13"/>
  </w:num>
  <w:num w:numId="6">
    <w:abstractNumId w:val="8"/>
  </w:num>
  <w:num w:numId="7">
    <w:abstractNumId w:val="7"/>
  </w:num>
  <w:num w:numId="8">
    <w:abstractNumId w:val="16"/>
  </w:num>
  <w:num w:numId="9">
    <w:abstractNumId w:val="2"/>
  </w:num>
  <w:num w:numId="10">
    <w:abstractNumId w:val="10"/>
    <w:lvlOverride w:ilvl="0">
      <w:startOverride w:val="2"/>
    </w:lvlOverride>
  </w:num>
  <w:num w:numId="11">
    <w:abstractNumId w:val="12"/>
    <w:lvlOverride w:ilvl="0">
      <w:startOverride w:val="3"/>
    </w:lvlOverride>
  </w:num>
  <w:num w:numId="12">
    <w:abstractNumId w:val="5"/>
    <w:lvlOverride w:ilvl="0">
      <w:startOverride w:val="4"/>
    </w:lvlOverride>
  </w:num>
  <w:num w:numId="13">
    <w:abstractNumId w:val="17"/>
    <w:lvlOverride w:ilvl="0">
      <w:startOverride w:val="5"/>
    </w:lvlOverride>
  </w:num>
  <w:num w:numId="14">
    <w:abstractNumId w:val="4"/>
    <w:lvlOverride w:ilvl="0">
      <w:startOverride w:val="6"/>
    </w:lvlOverride>
  </w:num>
  <w:num w:numId="15">
    <w:abstractNumId w:val="14"/>
    <w:lvlOverride w:ilvl="0">
      <w:startOverride w:val="7"/>
    </w:lvlOverride>
  </w:num>
  <w:num w:numId="16">
    <w:abstractNumId w:val="6"/>
  </w:num>
  <w:num w:numId="17">
    <w:abstractNumId w:val="1"/>
  </w:num>
  <w:num w:numId="18">
    <w:abstractNumId w:val="3"/>
  </w:num>
  <w:num w:numId="19">
    <w:abstractNumId w:val="1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8"/>
    <w:rsid w:val="00013267"/>
    <w:rsid w:val="0004724D"/>
    <w:rsid w:val="00054915"/>
    <w:rsid w:val="00054C61"/>
    <w:rsid w:val="00057693"/>
    <w:rsid w:val="00064642"/>
    <w:rsid w:val="00074BBB"/>
    <w:rsid w:val="00081E75"/>
    <w:rsid w:val="000A2B2D"/>
    <w:rsid w:val="000B16A6"/>
    <w:rsid w:val="000C0CBD"/>
    <w:rsid w:val="000D65FD"/>
    <w:rsid w:val="000F4FB5"/>
    <w:rsid w:val="00101B56"/>
    <w:rsid w:val="0012708F"/>
    <w:rsid w:val="00131634"/>
    <w:rsid w:val="001337F4"/>
    <w:rsid w:val="0014329A"/>
    <w:rsid w:val="00144A7C"/>
    <w:rsid w:val="00196873"/>
    <w:rsid w:val="001B3295"/>
    <w:rsid w:val="001C576C"/>
    <w:rsid w:val="001D3DD0"/>
    <w:rsid w:val="001E0CB0"/>
    <w:rsid w:val="001F588C"/>
    <w:rsid w:val="002013EF"/>
    <w:rsid w:val="00216F39"/>
    <w:rsid w:val="00224A0A"/>
    <w:rsid w:val="00237EFC"/>
    <w:rsid w:val="00283EB9"/>
    <w:rsid w:val="00293264"/>
    <w:rsid w:val="00296A34"/>
    <w:rsid w:val="002C79E7"/>
    <w:rsid w:val="002F4FBC"/>
    <w:rsid w:val="00303A31"/>
    <w:rsid w:val="00330DF8"/>
    <w:rsid w:val="003364F7"/>
    <w:rsid w:val="00340187"/>
    <w:rsid w:val="0034142D"/>
    <w:rsid w:val="00345CC5"/>
    <w:rsid w:val="00362538"/>
    <w:rsid w:val="003628EE"/>
    <w:rsid w:val="00377CB1"/>
    <w:rsid w:val="00382031"/>
    <w:rsid w:val="003A018E"/>
    <w:rsid w:val="003B0AD5"/>
    <w:rsid w:val="003D625E"/>
    <w:rsid w:val="003E02D3"/>
    <w:rsid w:val="003E31C4"/>
    <w:rsid w:val="004028E2"/>
    <w:rsid w:val="00415217"/>
    <w:rsid w:val="004723F1"/>
    <w:rsid w:val="004875D1"/>
    <w:rsid w:val="004B4D6F"/>
    <w:rsid w:val="004C6B2D"/>
    <w:rsid w:val="004C6B3A"/>
    <w:rsid w:val="004D5A1E"/>
    <w:rsid w:val="004F6B7A"/>
    <w:rsid w:val="00536641"/>
    <w:rsid w:val="00553E16"/>
    <w:rsid w:val="005574CB"/>
    <w:rsid w:val="0056543E"/>
    <w:rsid w:val="00577127"/>
    <w:rsid w:val="00580838"/>
    <w:rsid w:val="005B28CF"/>
    <w:rsid w:val="005E05C0"/>
    <w:rsid w:val="006012A1"/>
    <w:rsid w:val="00613467"/>
    <w:rsid w:val="0062039C"/>
    <w:rsid w:val="006A13D5"/>
    <w:rsid w:val="006B70F9"/>
    <w:rsid w:val="006C0899"/>
    <w:rsid w:val="006C08E3"/>
    <w:rsid w:val="006E0010"/>
    <w:rsid w:val="006E5C27"/>
    <w:rsid w:val="006F0B50"/>
    <w:rsid w:val="006F2F00"/>
    <w:rsid w:val="006F6381"/>
    <w:rsid w:val="007506E2"/>
    <w:rsid w:val="0076280C"/>
    <w:rsid w:val="00772C3B"/>
    <w:rsid w:val="007A7C95"/>
    <w:rsid w:val="007C39E3"/>
    <w:rsid w:val="007F15F3"/>
    <w:rsid w:val="00800215"/>
    <w:rsid w:val="0086079D"/>
    <w:rsid w:val="008614A4"/>
    <w:rsid w:val="00891045"/>
    <w:rsid w:val="008B6DA0"/>
    <w:rsid w:val="008D150D"/>
    <w:rsid w:val="008D2441"/>
    <w:rsid w:val="0090130F"/>
    <w:rsid w:val="00925D13"/>
    <w:rsid w:val="00932775"/>
    <w:rsid w:val="00937120"/>
    <w:rsid w:val="009442F8"/>
    <w:rsid w:val="009572DC"/>
    <w:rsid w:val="009608B1"/>
    <w:rsid w:val="009724A6"/>
    <w:rsid w:val="00986243"/>
    <w:rsid w:val="009B041B"/>
    <w:rsid w:val="009B38B9"/>
    <w:rsid w:val="009D6862"/>
    <w:rsid w:val="009E39F8"/>
    <w:rsid w:val="009E4CF2"/>
    <w:rsid w:val="009F1C8E"/>
    <w:rsid w:val="009F353B"/>
    <w:rsid w:val="00A03B6C"/>
    <w:rsid w:val="00A117C1"/>
    <w:rsid w:val="00A32618"/>
    <w:rsid w:val="00A40698"/>
    <w:rsid w:val="00A579C2"/>
    <w:rsid w:val="00A57B9E"/>
    <w:rsid w:val="00A60B87"/>
    <w:rsid w:val="00A635C6"/>
    <w:rsid w:val="00A9030D"/>
    <w:rsid w:val="00AA0415"/>
    <w:rsid w:val="00AC5C8C"/>
    <w:rsid w:val="00AC613C"/>
    <w:rsid w:val="00AF4B9E"/>
    <w:rsid w:val="00B26CAD"/>
    <w:rsid w:val="00B30FAC"/>
    <w:rsid w:val="00B510C6"/>
    <w:rsid w:val="00B5578F"/>
    <w:rsid w:val="00B56D4F"/>
    <w:rsid w:val="00B62D49"/>
    <w:rsid w:val="00B63652"/>
    <w:rsid w:val="00B64C38"/>
    <w:rsid w:val="00B667DF"/>
    <w:rsid w:val="00B760EE"/>
    <w:rsid w:val="00B91407"/>
    <w:rsid w:val="00B94365"/>
    <w:rsid w:val="00BB000A"/>
    <w:rsid w:val="00BB4360"/>
    <w:rsid w:val="00BB651D"/>
    <w:rsid w:val="00BB7FD4"/>
    <w:rsid w:val="00BC646F"/>
    <w:rsid w:val="00BE641B"/>
    <w:rsid w:val="00C063D9"/>
    <w:rsid w:val="00C151B6"/>
    <w:rsid w:val="00C42771"/>
    <w:rsid w:val="00C56503"/>
    <w:rsid w:val="00C73965"/>
    <w:rsid w:val="00CA2957"/>
    <w:rsid w:val="00CB44AA"/>
    <w:rsid w:val="00CB47BD"/>
    <w:rsid w:val="00CD6A83"/>
    <w:rsid w:val="00CF3D7E"/>
    <w:rsid w:val="00CF5C8D"/>
    <w:rsid w:val="00D325F4"/>
    <w:rsid w:val="00D54054"/>
    <w:rsid w:val="00D6043C"/>
    <w:rsid w:val="00D66EE3"/>
    <w:rsid w:val="00D84814"/>
    <w:rsid w:val="00D952A5"/>
    <w:rsid w:val="00DB07A3"/>
    <w:rsid w:val="00DB5884"/>
    <w:rsid w:val="00DB7763"/>
    <w:rsid w:val="00DC62E4"/>
    <w:rsid w:val="00DC6B84"/>
    <w:rsid w:val="00DE70BA"/>
    <w:rsid w:val="00E84E7E"/>
    <w:rsid w:val="00E91678"/>
    <w:rsid w:val="00EB02E0"/>
    <w:rsid w:val="00EE3D08"/>
    <w:rsid w:val="00EE63A6"/>
    <w:rsid w:val="00EF042D"/>
    <w:rsid w:val="00F15B79"/>
    <w:rsid w:val="00F5482E"/>
    <w:rsid w:val="00F86D99"/>
    <w:rsid w:val="00F9167F"/>
    <w:rsid w:val="00FA7463"/>
    <w:rsid w:val="00FB1B01"/>
    <w:rsid w:val="00FB1DA6"/>
    <w:rsid w:val="00FD34B8"/>
    <w:rsid w:val="00F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320">
      <w:bodyDiv w:val="1"/>
      <w:marLeft w:val="0"/>
      <w:marRight w:val="0"/>
      <w:marTop w:val="0"/>
      <w:marBottom w:val="0"/>
      <w:divBdr>
        <w:top w:val="none" w:sz="0" w:space="0" w:color="auto"/>
        <w:left w:val="none" w:sz="0" w:space="0" w:color="auto"/>
        <w:bottom w:val="none" w:sz="0" w:space="0" w:color="auto"/>
        <w:right w:val="none" w:sz="0" w:space="0" w:color="auto"/>
      </w:divBdr>
    </w:div>
    <w:div w:id="916286671">
      <w:bodyDiv w:val="1"/>
      <w:marLeft w:val="0"/>
      <w:marRight w:val="0"/>
      <w:marTop w:val="0"/>
      <w:marBottom w:val="0"/>
      <w:divBdr>
        <w:top w:val="none" w:sz="0" w:space="0" w:color="auto"/>
        <w:left w:val="none" w:sz="0" w:space="0" w:color="auto"/>
        <w:bottom w:val="none" w:sz="0" w:space="0" w:color="auto"/>
        <w:right w:val="none" w:sz="0" w:space="0" w:color="auto"/>
      </w:divBdr>
    </w:div>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2548">
      <w:bodyDiv w:val="1"/>
      <w:marLeft w:val="0"/>
      <w:marRight w:val="0"/>
      <w:marTop w:val="0"/>
      <w:marBottom w:val="0"/>
      <w:divBdr>
        <w:top w:val="none" w:sz="0" w:space="0" w:color="auto"/>
        <w:left w:val="none" w:sz="0" w:space="0" w:color="auto"/>
        <w:bottom w:val="none" w:sz="0" w:space="0" w:color="auto"/>
        <w:right w:val="none" w:sz="0" w:space="0" w:color="auto"/>
      </w:divBdr>
      <w:divsChild>
        <w:div w:id="372703241">
          <w:marLeft w:val="0"/>
          <w:marRight w:val="0"/>
          <w:marTop w:val="0"/>
          <w:marBottom w:val="0"/>
          <w:divBdr>
            <w:top w:val="none" w:sz="0" w:space="0" w:color="auto"/>
            <w:left w:val="none" w:sz="0" w:space="0" w:color="auto"/>
            <w:bottom w:val="none" w:sz="0" w:space="0" w:color="auto"/>
            <w:right w:val="none" w:sz="0" w:space="0" w:color="auto"/>
          </w:divBdr>
        </w:div>
        <w:div w:id="498270318">
          <w:marLeft w:val="0"/>
          <w:marRight w:val="0"/>
          <w:marTop w:val="0"/>
          <w:marBottom w:val="0"/>
          <w:divBdr>
            <w:top w:val="none" w:sz="0" w:space="0" w:color="auto"/>
            <w:left w:val="none" w:sz="0" w:space="0" w:color="auto"/>
            <w:bottom w:val="none" w:sz="0" w:space="0" w:color="auto"/>
            <w:right w:val="none" w:sz="0" w:space="0" w:color="auto"/>
          </w:divBdr>
        </w:div>
        <w:div w:id="1828671307">
          <w:marLeft w:val="0"/>
          <w:marRight w:val="0"/>
          <w:marTop w:val="0"/>
          <w:marBottom w:val="0"/>
          <w:divBdr>
            <w:top w:val="none" w:sz="0" w:space="0" w:color="auto"/>
            <w:left w:val="none" w:sz="0" w:space="0" w:color="auto"/>
            <w:bottom w:val="none" w:sz="0" w:space="0" w:color="auto"/>
            <w:right w:val="none" w:sz="0" w:space="0" w:color="auto"/>
          </w:divBdr>
        </w:div>
        <w:div w:id="86343377">
          <w:marLeft w:val="0"/>
          <w:marRight w:val="0"/>
          <w:marTop w:val="0"/>
          <w:marBottom w:val="0"/>
          <w:divBdr>
            <w:top w:val="none" w:sz="0" w:space="0" w:color="auto"/>
            <w:left w:val="none" w:sz="0" w:space="0" w:color="auto"/>
            <w:bottom w:val="none" w:sz="0" w:space="0" w:color="auto"/>
            <w:right w:val="none" w:sz="0" w:space="0" w:color="auto"/>
          </w:divBdr>
          <w:divsChild>
            <w:div w:id="14699499">
              <w:marLeft w:val="0"/>
              <w:marRight w:val="0"/>
              <w:marTop w:val="0"/>
              <w:marBottom w:val="0"/>
              <w:divBdr>
                <w:top w:val="none" w:sz="0" w:space="0" w:color="auto"/>
                <w:left w:val="none" w:sz="0" w:space="0" w:color="auto"/>
                <w:bottom w:val="none" w:sz="0" w:space="0" w:color="auto"/>
                <w:right w:val="none" w:sz="0" w:space="0" w:color="auto"/>
              </w:divBdr>
            </w:div>
          </w:divsChild>
        </w:div>
        <w:div w:id="1980650186">
          <w:marLeft w:val="0"/>
          <w:marRight w:val="0"/>
          <w:marTop w:val="0"/>
          <w:marBottom w:val="0"/>
          <w:divBdr>
            <w:top w:val="none" w:sz="0" w:space="0" w:color="auto"/>
            <w:left w:val="none" w:sz="0" w:space="0" w:color="auto"/>
            <w:bottom w:val="none" w:sz="0" w:space="0" w:color="auto"/>
            <w:right w:val="none" w:sz="0" w:space="0" w:color="auto"/>
          </w:divBdr>
        </w:div>
        <w:div w:id="272640145">
          <w:marLeft w:val="0"/>
          <w:marRight w:val="0"/>
          <w:marTop w:val="0"/>
          <w:marBottom w:val="0"/>
          <w:divBdr>
            <w:top w:val="none" w:sz="0" w:space="0" w:color="auto"/>
            <w:left w:val="none" w:sz="0" w:space="0" w:color="auto"/>
            <w:bottom w:val="none" w:sz="0" w:space="0" w:color="auto"/>
            <w:right w:val="none" w:sz="0" w:space="0" w:color="auto"/>
          </w:divBdr>
        </w:div>
        <w:div w:id="905192032">
          <w:marLeft w:val="0"/>
          <w:marRight w:val="0"/>
          <w:marTop w:val="0"/>
          <w:marBottom w:val="0"/>
          <w:divBdr>
            <w:top w:val="none" w:sz="0" w:space="0" w:color="auto"/>
            <w:left w:val="none" w:sz="0" w:space="0" w:color="auto"/>
            <w:bottom w:val="none" w:sz="0" w:space="0" w:color="auto"/>
            <w:right w:val="none" w:sz="0" w:space="0" w:color="auto"/>
          </w:divBdr>
          <w:divsChild>
            <w:div w:id="80297153">
              <w:marLeft w:val="0"/>
              <w:marRight w:val="0"/>
              <w:marTop w:val="0"/>
              <w:marBottom w:val="0"/>
              <w:divBdr>
                <w:top w:val="none" w:sz="0" w:space="0" w:color="auto"/>
                <w:left w:val="none" w:sz="0" w:space="0" w:color="auto"/>
                <w:bottom w:val="none" w:sz="0" w:space="0" w:color="auto"/>
                <w:right w:val="none" w:sz="0" w:space="0" w:color="auto"/>
              </w:divBdr>
            </w:div>
            <w:div w:id="1209486092">
              <w:marLeft w:val="0"/>
              <w:marRight w:val="0"/>
              <w:marTop w:val="0"/>
              <w:marBottom w:val="0"/>
              <w:divBdr>
                <w:top w:val="none" w:sz="0" w:space="0" w:color="auto"/>
                <w:left w:val="none" w:sz="0" w:space="0" w:color="auto"/>
                <w:bottom w:val="none" w:sz="0" w:space="0" w:color="auto"/>
                <w:right w:val="none" w:sz="0" w:space="0" w:color="auto"/>
              </w:divBdr>
              <w:divsChild>
                <w:div w:id="38212731">
                  <w:marLeft w:val="0"/>
                  <w:marRight w:val="0"/>
                  <w:marTop w:val="0"/>
                  <w:marBottom w:val="0"/>
                  <w:divBdr>
                    <w:top w:val="none" w:sz="0" w:space="0" w:color="auto"/>
                    <w:left w:val="none" w:sz="0" w:space="0" w:color="auto"/>
                    <w:bottom w:val="none" w:sz="0" w:space="0" w:color="auto"/>
                    <w:right w:val="none" w:sz="0" w:space="0" w:color="auto"/>
                  </w:divBdr>
                </w:div>
                <w:div w:id="1138835833">
                  <w:marLeft w:val="0"/>
                  <w:marRight w:val="0"/>
                  <w:marTop w:val="0"/>
                  <w:marBottom w:val="0"/>
                  <w:divBdr>
                    <w:top w:val="none" w:sz="0" w:space="0" w:color="auto"/>
                    <w:left w:val="none" w:sz="0" w:space="0" w:color="auto"/>
                    <w:bottom w:val="none" w:sz="0" w:space="0" w:color="auto"/>
                    <w:right w:val="none" w:sz="0" w:space="0" w:color="auto"/>
                  </w:divBdr>
                </w:div>
                <w:div w:id="1566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2">
      <w:bodyDiv w:val="1"/>
      <w:marLeft w:val="0"/>
      <w:marRight w:val="0"/>
      <w:marTop w:val="0"/>
      <w:marBottom w:val="0"/>
      <w:divBdr>
        <w:top w:val="none" w:sz="0" w:space="0" w:color="auto"/>
        <w:left w:val="none" w:sz="0" w:space="0" w:color="auto"/>
        <w:bottom w:val="none" w:sz="0" w:space="0" w:color="auto"/>
        <w:right w:val="none" w:sz="0" w:space="0" w:color="auto"/>
      </w:divBdr>
    </w:div>
    <w:div w:id="1525823413">
      <w:bodyDiv w:val="1"/>
      <w:marLeft w:val="0"/>
      <w:marRight w:val="0"/>
      <w:marTop w:val="0"/>
      <w:marBottom w:val="0"/>
      <w:divBdr>
        <w:top w:val="none" w:sz="0" w:space="0" w:color="auto"/>
        <w:left w:val="none" w:sz="0" w:space="0" w:color="auto"/>
        <w:bottom w:val="none" w:sz="0" w:space="0" w:color="auto"/>
        <w:right w:val="none" w:sz="0" w:space="0" w:color="auto"/>
      </w:divBdr>
    </w:div>
    <w:div w:id="1745448663">
      <w:bodyDiv w:val="1"/>
      <w:marLeft w:val="0"/>
      <w:marRight w:val="0"/>
      <w:marTop w:val="0"/>
      <w:marBottom w:val="0"/>
      <w:divBdr>
        <w:top w:val="none" w:sz="0" w:space="0" w:color="auto"/>
        <w:left w:val="none" w:sz="0" w:space="0" w:color="auto"/>
        <w:bottom w:val="none" w:sz="0" w:space="0" w:color="auto"/>
        <w:right w:val="none" w:sz="0" w:space="0" w:color="auto"/>
      </w:divBdr>
    </w:div>
    <w:div w:id="2003117614">
      <w:bodyDiv w:val="1"/>
      <w:marLeft w:val="0"/>
      <w:marRight w:val="0"/>
      <w:marTop w:val="0"/>
      <w:marBottom w:val="0"/>
      <w:divBdr>
        <w:top w:val="none" w:sz="0" w:space="0" w:color="auto"/>
        <w:left w:val="none" w:sz="0" w:space="0" w:color="auto"/>
        <w:bottom w:val="none" w:sz="0" w:space="0" w:color="auto"/>
        <w:right w:val="none" w:sz="0" w:space="0" w:color="auto"/>
      </w:divBdr>
    </w:div>
    <w:div w:id="21385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gosdacidade.prefeitura.sp.gov.br/" TargetMode="External"/><Relationship Id="rId5" Type="http://schemas.openxmlformats.org/officeDocument/2006/relationships/settings" Target="settings.xml"/><Relationship Id="rId10" Type="http://schemas.openxmlformats.org/officeDocument/2006/relationships/hyperlink" Target="http://www.prefeitura.sp.gov.br/seme/campeonato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B8CF-494D-4DBA-8B08-788787EF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2636</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Alik Machado Gandelman</cp:lastModifiedBy>
  <cp:revision>6</cp:revision>
  <cp:lastPrinted>2011-07-15T19:01:00Z</cp:lastPrinted>
  <dcterms:created xsi:type="dcterms:W3CDTF">2018-04-03T18:26:00Z</dcterms:created>
  <dcterms:modified xsi:type="dcterms:W3CDTF">2018-04-03T19:36:00Z</dcterms:modified>
</cp:coreProperties>
</file>