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AD" w:rsidRDefault="005336AD" w:rsidP="005336A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C119505" wp14:editId="798EC06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Default="005336AD" w:rsidP="005336A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6AD" w:rsidRDefault="005336AD" w:rsidP="005336A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13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5336AD" w:rsidRDefault="005336AD" w:rsidP="005336A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5336AD" w:rsidRDefault="005336AD" w:rsidP="005336AD">
      <w:pPr>
        <w:jc w:val="center"/>
        <w:rPr>
          <w:rFonts w:ascii="Verdana" w:hAnsi="Verdana"/>
          <w:b/>
          <w:sz w:val="24"/>
          <w:szCs w:val="24"/>
        </w:rPr>
      </w:pPr>
    </w:p>
    <w:p w:rsidR="005336AD" w:rsidRDefault="005336AD" w:rsidP="005336A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pág. 27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3861">
        <w:rPr>
          <w:rFonts w:ascii="Verdana" w:hAnsi="Verdana" w:cs="Frutiger-BlackCn"/>
          <w:b/>
          <w:bCs/>
        </w:rPr>
        <w:t>TRABALHO E</w:t>
      </w:r>
      <w:r w:rsidR="00C53861">
        <w:rPr>
          <w:rFonts w:ascii="Verdana" w:hAnsi="Verdana" w:cs="Frutiger-BlackCn"/>
          <w:b/>
          <w:bCs/>
        </w:rPr>
        <w:t xml:space="preserve"> </w:t>
      </w:r>
      <w:r w:rsidRPr="00C53861">
        <w:rPr>
          <w:rFonts w:ascii="Verdana" w:hAnsi="Verdana" w:cs="Frutiger-BlackCn"/>
          <w:b/>
          <w:bCs/>
        </w:rPr>
        <w:t>EMPREENDEDORISMO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GABINETE DA SECRETÁRIA</w:t>
      </w:r>
    </w:p>
    <w:p w:rsidR="00C53861" w:rsidRDefault="00C53861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3861">
        <w:rPr>
          <w:rFonts w:ascii="Verdana" w:hAnsi="Verdana" w:cs="Frutiger-BlackCn"/>
          <w:b/>
          <w:bCs/>
        </w:rPr>
        <w:t>SUPERVISÃO DE GESTÃO DE PESSOAS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RELAÇÃO DE ADICIONAIS POR TEMPO DE SERVIÇO NOS</w:t>
      </w:r>
    </w:p>
    <w:p w:rsidR="005336AD" w:rsidRPr="00C53861" w:rsidRDefault="005336AD" w:rsidP="005336AD">
      <w:pPr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TERMOS DO ARTIGO 112, DA LEI 8989/79</w:t>
      </w:r>
    </w:p>
    <w:p w:rsidR="005336AD" w:rsidRPr="00C53861" w:rsidRDefault="005336AD" w:rsidP="005336AD">
      <w:pPr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drawing>
          <wp:inline distT="0" distB="0" distL="0" distR="0" wp14:anchorId="43C04747" wp14:editId="427B4F13">
            <wp:extent cx="4049485" cy="5606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56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Pr="00C53861" w:rsidRDefault="005336AD" w:rsidP="00C53861">
      <w:pPr>
        <w:jc w:val="center"/>
        <w:rPr>
          <w:rFonts w:ascii="Verdana" w:hAnsi="Verdana"/>
          <w:b/>
          <w:sz w:val="24"/>
        </w:rPr>
      </w:pPr>
      <w:r w:rsidRPr="00C53861">
        <w:rPr>
          <w:rFonts w:ascii="Verdana" w:hAnsi="Verdana"/>
          <w:b/>
          <w:sz w:val="24"/>
        </w:rPr>
        <w:t>Editais, pág. 39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CONSELHO MUNICIPAL DE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ADMINISTRAÇÃO PÚBLICA - COMAP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3861">
        <w:rPr>
          <w:rFonts w:ascii="Verdana" w:hAnsi="Verdana" w:cs="Frutiger-BlackCn"/>
          <w:b/>
          <w:bCs/>
        </w:rPr>
        <w:t>ATA DA 32ª REUNIÃO EXTRAORDINÁRIA DO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3861">
        <w:rPr>
          <w:rFonts w:ascii="Verdana" w:hAnsi="Verdana" w:cs="Frutiger-BlackCn"/>
          <w:b/>
          <w:bCs/>
        </w:rPr>
        <w:t>CONSELHO MUNICIPAL DE ADMINISTRAÇÃO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3861">
        <w:rPr>
          <w:rFonts w:ascii="Verdana" w:hAnsi="Verdana" w:cs="Frutiger-BlackCn"/>
          <w:b/>
          <w:bCs/>
        </w:rPr>
        <w:t>PÚBLICA – COMAP REALIZADA EM 24 DE JULHO</w:t>
      </w:r>
      <w:r w:rsidR="00C53861">
        <w:rPr>
          <w:rFonts w:ascii="Verdana" w:hAnsi="Verdana" w:cs="Frutiger-BlackCn"/>
          <w:b/>
          <w:bCs/>
        </w:rPr>
        <w:t xml:space="preserve"> </w:t>
      </w:r>
      <w:r w:rsidRPr="00C53861">
        <w:rPr>
          <w:rFonts w:ascii="Verdana" w:hAnsi="Verdana" w:cs="Frutiger-BlackCn"/>
          <w:b/>
          <w:bCs/>
        </w:rPr>
        <w:t>DE 2017.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Aos 24 dias de julho de 2017, às 14h30 horas, sob a presidência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 xml:space="preserve">da Senhora </w:t>
      </w:r>
      <w:proofErr w:type="spellStart"/>
      <w:r w:rsidRPr="00C53861">
        <w:rPr>
          <w:rFonts w:ascii="Verdana" w:hAnsi="Verdana" w:cs="Frutiger-Cn"/>
        </w:rPr>
        <w:t>Tarcila</w:t>
      </w:r>
      <w:proofErr w:type="spellEnd"/>
      <w:r w:rsidRPr="00C53861">
        <w:rPr>
          <w:rFonts w:ascii="Verdana" w:hAnsi="Verdana" w:cs="Frutiger-Cn"/>
        </w:rPr>
        <w:t xml:space="preserve"> Peres Santos, SGM, realizou-se a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32ª reunião Plenária Extraordinária do Conselho Municipal de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Administração Pública – COMAP, na sala de reuniões – quinto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andar, da Secretaria do Governo Municipal, estando presentes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 xml:space="preserve">os seguintes membros: Giulia da Cunha Fernandes </w:t>
      </w:r>
      <w:proofErr w:type="spellStart"/>
      <w:r w:rsidRPr="00C53861">
        <w:rPr>
          <w:rFonts w:ascii="Verdana" w:hAnsi="Verdana" w:cs="Frutiger-Cn"/>
        </w:rPr>
        <w:t>Puttomatti</w:t>
      </w:r>
      <w:proofErr w:type="spellEnd"/>
      <w:r w:rsidRPr="00C53861">
        <w:rPr>
          <w:rFonts w:ascii="Verdana" w:hAnsi="Verdana" w:cs="Frutiger-Cn"/>
        </w:rPr>
        <w:t>,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 xml:space="preserve">SMF, Ivan Teixeira da Costa </w:t>
      </w:r>
      <w:proofErr w:type="spellStart"/>
      <w:r w:rsidRPr="00C53861">
        <w:rPr>
          <w:rFonts w:ascii="Verdana" w:hAnsi="Verdana" w:cs="Frutiger-Cn"/>
        </w:rPr>
        <w:t>Budinski</w:t>
      </w:r>
      <w:proofErr w:type="spellEnd"/>
      <w:r w:rsidRPr="00C53861">
        <w:rPr>
          <w:rFonts w:ascii="Verdana" w:hAnsi="Verdana" w:cs="Frutiger-Cn"/>
        </w:rPr>
        <w:t>, de SERG, Vladimir de Souza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 xml:space="preserve">Alves, de SMJ e Fábio </w:t>
      </w:r>
      <w:proofErr w:type="spellStart"/>
      <w:r w:rsidRPr="00C53861">
        <w:rPr>
          <w:rFonts w:ascii="Verdana" w:hAnsi="Verdana" w:cs="Frutiger-Cn"/>
        </w:rPr>
        <w:t>Teizo</w:t>
      </w:r>
      <w:proofErr w:type="spellEnd"/>
      <w:r w:rsidRPr="00C53861">
        <w:rPr>
          <w:rFonts w:ascii="Verdana" w:hAnsi="Verdana" w:cs="Frutiger-Cn"/>
        </w:rPr>
        <w:t>, de SMG.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O Conselho foi instituído pelo Decreto nº. 50.514/2009 e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posteriores alterações e os membros nomeados por meio da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seguinte portaria: Portaria 18, de 06 de janeiro de 2017.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Dado início a primeira reunião extraordinária, segue abaixo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resumo das deliberações: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1. Foram apreciadas as propostas de nomeações/designações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formalizadas pelas diversas Secretarias e obtiveram manifestação</w:t>
      </w:r>
    </w:p>
    <w:p w:rsidR="005336AD" w:rsidRPr="00C53861" w:rsidRDefault="005336AD" w:rsidP="00C538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favorável ao prosseguimento, uma vez examinadas</w:t>
      </w:r>
      <w:r w:rsidR="00C53861">
        <w:rPr>
          <w:rFonts w:ascii="Verdana" w:hAnsi="Verdana" w:cs="Frutiger-Cn"/>
        </w:rPr>
        <w:t xml:space="preserve"> </w:t>
      </w:r>
      <w:r w:rsidRPr="00C53861">
        <w:rPr>
          <w:rFonts w:ascii="Verdana" w:hAnsi="Verdana" w:cs="Frutiger-Cn"/>
        </w:rPr>
        <w:t>as declarações apresentadas em atendimento ao Decreto n°50.898/2009, com vistas a evitar situações que possam contrariar</w:t>
      </w:r>
      <w:r w:rsidR="00C53861">
        <w:rPr>
          <w:rFonts w:ascii="Verdana" w:hAnsi="Verdana" w:cs="Frutiger-Cn"/>
        </w:rPr>
        <w:t xml:space="preserve"> </w:t>
      </w:r>
      <w:r w:rsidRPr="00C53861">
        <w:rPr>
          <w:rFonts w:ascii="Verdana" w:hAnsi="Verdana" w:cs="Frutiger-Cn"/>
        </w:rPr>
        <w:t>o disposto da Súmula 13 do Supremo Tribunal Federal, bem</w:t>
      </w:r>
      <w:r w:rsidR="00C53861">
        <w:rPr>
          <w:rFonts w:ascii="Verdana" w:hAnsi="Verdana" w:cs="Frutiger-Cn"/>
        </w:rPr>
        <w:t xml:space="preserve"> </w:t>
      </w:r>
      <w:r w:rsidRPr="00C53861">
        <w:rPr>
          <w:rFonts w:ascii="Verdana" w:hAnsi="Verdana" w:cs="Frutiger-Cn"/>
        </w:rPr>
        <w:t>como, ao Decreto nº 53.177/2012:</w:t>
      </w:r>
    </w:p>
    <w:p w:rsidR="005336AD" w:rsidRPr="00C53861" w:rsidRDefault="005336AD" w:rsidP="005336AD">
      <w:pPr>
        <w:spacing w:after="0"/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40EB1AFC" wp14:editId="1676FB9C">
            <wp:extent cx="1947553" cy="204948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67" cy="20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Pr="00C53861" w:rsidRDefault="005336AD" w:rsidP="005336AD">
      <w:pPr>
        <w:spacing w:after="0"/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drawing>
          <wp:inline distT="0" distB="0" distL="0" distR="0" wp14:anchorId="366C2B14" wp14:editId="6EBD79FA">
            <wp:extent cx="2814451" cy="180606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56" cy="18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3. Fora</w:t>
      </w:r>
      <w:r w:rsidRPr="00C53861">
        <w:rPr>
          <w:rFonts w:ascii="Verdana" w:hAnsi="Verdana" w:cs="Frutiger-Cn"/>
        </w:rPr>
        <w:tab/>
      </w:r>
      <w:r w:rsidRPr="00C53861">
        <w:rPr>
          <w:rFonts w:ascii="Verdana" w:hAnsi="Verdana" w:cs="Frutiger-Cn"/>
        </w:rPr>
        <w:t>m igualmente analisados e aprovados pelo Conselho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as propostas de nomeações/designações na conformidade</w:t>
      </w:r>
    </w:p>
    <w:p w:rsidR="005336AD" w:rsidRPr="00C53861" w:rsidRDefault="005336AD" w:rsidP="005336AD">
      <w:pPr>
        <w:spacing w:after="0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abaixo:</w:t>
      </w:r>
    </w:p>
    <w:p w:rsidR="005336AD" w:rsidRPr="00C53861" w:rsidRDefault="005336AD" w:rsidP="005336AD">
      <w:pPr>
        <w:spacing w:after="0"/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drawing>
          <wp:inline distT="0" distB="0" distL="0" distR="0" wp14:anchorId="4A42B71A" wp14:editId="7C772A06">
            <wp:extent cx="4168239" cy="40573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522" cy="40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Pr="00C53861" w:rsidRDefault="005336AD" w:rsidP="005336AD">
      <w:pPr>
        <w:spacing w:after="0"/>
        <w:rPr>
          <w:rFonts w:ascii="Verdana" w:hAnsi="Verdana"/>
          <w:b/>
        </w:rPr>
      </w:pP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3861">
        <w:rPr>
          <w:rFonts w:ascii="Verdana" w:hAnsi="Verdana" w:cs="Frutiger-BlackCn"/>
          <w:b/>
          <w:bCs/>
        </w:rPr>
        <w:t>TRABALHO E</w:t>
      </w:r>
      <w:r w:rsidR="00C53861">
        <w:rPr>
          <w:rFonts w:ascii="Verdana" w:hAnsi="Verdana" w:cs="Frutiger-BlackCn"/>
          <w:b/>
          <w:bCs/>
        </w:rPr>
        <w:t xml:space="preserve"> </w:t>
      </w:r>
      <w:r w:rsidRPr="00C53861">
        <w:rPr>
          <w:rFonts w:ascii="Verdana" w:hAnsi="Verdana" w:cs="Frutiger-BlackCn"/>
          <w:b/>
          <w:bCs/>
        </w:rPr>
        <w:t>EMPREENDEDORISMO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GABINETE DA SECRETÁRIA</w:t>
      </w:r>
    </w:p>
    <w:p w:rsidR="00C53861" w:rsidRDefault="00C53861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53861">
        <w:rPr>
          <w:rFonts w:ascii="Verdana" w:hAnsi="Verdana" w:cs="Frutiger-Cn"/>
          <w:b/>
        </w:rPr>
        <w:t>COORDENADORIA DE SEGURANÇA ALIMENTAR</w:t>
      </w:r>
      <w:r w:rsidR="00C53861" w:rsidRPr="00C53861">
        <w:rPr>
          <w:rFonts w:ascii="Verdana" w:hAnsi="Verdana" w:cs="Frutiger-Cn"/>
          <w:b/>
        </w:rPr>
        <w:t xml:space="preserve"> </w:t>
      </w:r>
      <w:r w:rsidRPr="00C53861">
        <w:rPr>
          <w:rFonts w:ascii="Verdana" w:hAnsi="Verdana" w:cs="Frutiger-Cn"/>
          <w:b/>
        </w:rPr>
        <w:t>E NUTRICIONAL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NOTIFICAÇÃO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Ficam as empresas permissionárias a seguir relacionadas e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 xml:space="preserve">identificadas, </w:t>
      </w:r>
      <w:r w:rsidRPr="00C53861">
        <w:rPr>
          <w:rFonts w:ascii="Verdana" w:hAnsi="Verdana" w:cs="Frutiger-BoldCn"/>
          <w:b/>
          <w:bCs/>
        </w:rPr>
        <w:t xml:space="preserve">NOTIFICADAS </w:t>
      </w:r>
      <w:r w:rsidRPr="00C53861">
        <w:rPr>
          <w:rFonts w:ascii="Verdana" w:hAnsi="Verdana" w:cs="Frutiger-Cn"/>
        </w:rPr>
        <w:t>de que se encontram sujeitas à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aplicação da penalidade de revogação de permissão de uso,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nos termos do estabelecido no art. 25,inciso II, do Decreto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C53861">
        <w:rPr>
          <w:rFonts w:ascii="Verdana" w:hAnsi="Verdana" w:cs="Frutiger-Cn"/>
        </w:rPr>
        <w:t>n.°</w:t>
      </w:r>
      <w:proofErr w:type="spellEnd"/>
      <w:r w:rsidRPr="00C53861">
        <w:rPr>
          <w:rFonts w:ascii="Verdana" w:hAnsi="Verdana" w:cs="Frutiger-Cn"/>
        </w:rPr>
        <w:t xml:space="preserve"> 41.425 , de 27 de Novembro de 2001 </w:t>
      </w:r>
      <w:r w:rsidRPr="00C53861">
        <w:rPr>
          <w:rFonts w:ascii="Verdana" w:hAnsi="Verdana" w:cs="Frutiger-BoldCn"/>
          <w:b/>
          <w:bCs/>
        </w:rPr>
        <w:t>tendo em vista a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inadimplência relativa a falta de pagamento referente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ao preço de ocupação de área, consumo de água, esgoto,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energia elétrica, serviços de vigilância e limpeza e qualquer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outra obrigação legal por mais de 60 ( sessenta )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Cn"/>
        </w:rPr>
        <w:t xml:space="preserve">. Assim, ficam referidas empresas </w:t>
      </w:r>
      <w:r w:rsidRPr="00C53861">
        <w:rPr>
          <w:rFonts w:ascii="Verdana" w:hAnsi="Verdana" w:cs="Frutiger-BoldCn"/>
          <w:b/>
          <w:bCs/>
        </w:rPr>
        <w:t>INTIMADAS a liquidar 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débito em aberto, no prazo de 03 ( três) dias corridos, a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contar da data de publicação da presente no D.O.C., ou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apresentar, querendo, no mesmo prazo, defesa prévia que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>lhe é garantida por lei.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3861">
        <w:rPr>
          <w:rFonts w:ascii="Verdana" w:hAnsi="Verdana" w:cs="Frutiger-BoldCn"/>
          <w:b/>
          <w:bCs/>
        </w:rPr>
        <w:t xml:space="preserve">Mercado Municipal </w:t>
      </w:r>
      <w:proofErr w:type="spellStart"/>
      <w:r w:rsidRPr="00C53861">
        <w:rPr>
          <w:rFonts w:ascii="Verdana" w:hAnsi="Verdana" w:cs="Frutiger-BoldCn"/>
          <w:b/>
          <w:bCs/>
        </w:rPr>
        <w:t>Kinjo</w:t>
      </w:r>
      <w:proofErr w:type="spellEnd"/>
      <w:r w:rsidRPr="00C53861">
        <w:rPr>
          <w:rFonts w:ascii="Verdana" w:hAnsi="Verdana" w:cs="Frutiger-BoldCn"/>
          <w:b/>
          <w:bCs/>
        </w:rPr>
        <w:t xml:space="preserve"> Yamato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 xml:space="preserve">Marcio Fernandes </w:t>
      </w:r>
      <w:proofErr w:type="spellStart"/>
      <w:r w:rsidRPr="00C53861">
        <w:rPr>
          <w:rFonts w:ascii="Verdana" w:hAnsi="Verdana" w:cs="Frutiger-Cn"/>
        </w:rPr>
        <w:t>Hortifrutícolas</w:t>
      </w:r>
      <w:proofErr w:type="spellEnd"/>
      <w:r w:rsidRPr="00C53861">
        <w:rPr>
          <w:rFonts w:ascii="Verdana" w:hAnsi="Verdana" w:cs="Frutiger-Cn"/>
        </w:rPr>
        <w:t xml:space="preserve"> - ME, Box 29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 xml:space="preserve">Ivete Miyashiro </w:t>
      </w:r>
      <w:proofErr w:type="spellStart"/>
      <w:r w:rsidRPr="00C53861">
        <w:rPr>
          <w:rFonts w:ascii="Verdana" w:hAnsi="Verdana" w:cs="Frutiger-Cn"/>
        </w:rPr>
        <w:t>Itokazu</w:t>
      </w:r>
      <w:proofErr w:type="spellEnd"/>
      <w:r w:rsidRPr="00C53861">
        <w:rPr>
          <w:rFonts w:ascii="Verdana" w:hAnsi="Verdana" w:cs="Frutiger-Cn"/>
        </w:rPr>
        <w:t xml:space="preserve"> – ME, Box 52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Maria Miyashiro - Me, Box 53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 xml:space="preserve">Casa das Mandiocas Alessandra </w:t>
      </w:r>
      <w:proofErr w:type="spellStart"/>
      <w:r w:rsidRPr="00C53861">
        <w:rPr>
          <w:rFonts w:ascii="Verdana" w:hAnsi="Verdana" w:cs="Frutiger-Cn"/>
        </w:rPr>
        <w:t>Ltda</w:t>
      </w:r>
      <w:proofErr w:type="spellEnd"/>
      <w:r w:rsidRPr="00C53861">
        <w:rPr>
          <w:rFonts w:ascii="Verdana" w:hAnsi="Verdana" w:cs="Frutiger-Cn"/>
        </w:rPr>
        <w:t xml:space="preserve"> - ME, Box 57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53861">
        <w:rPr>
          <w:rFonts w:ascii="Verdana" w:hAnsi="Verdana" w:cs="Frutiger-Cn"/>
        </w:rPr>
        <w:t>Saburo</w:t>
      </w:r>
      <w:proofErr w:type="spellEnd"/>
      <w:r w:rsidRPr="00C53861">
        <w:rPr>
          <w:rFonts w:ascii="Verdana" w:hAnsi="Verdana" w:cs="Frutiger-Cn"/>
        </w:rPr>
        <w:t xml:space="preserve"> </w:t>
      </w:r>
      <w:proofErr w:type="spellStart"/>
      <w:r w:rsidRPr="00C53861">
        <w:rPr>
          <w:rFonts w:ascii="Verdana" w:hAnsi="Verdana" w:cs="Frutiger-Cn"/>
        </w:rPr>
        <w:t>Araki</w:t>
      </w:r>
      <w:proofErr w:type="spellEnd"/>
      <w:r w:rsidRPr="00C53861">
        <w:rPr>
          <w:rFonts w:ascii="Verdana" w:hAnsi="Verdana" w:cs="Frutiger-Cn"/>
        </w:rPr>
        <w:t xml:space="preserve"> – ME, Box 21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3861">
        <w:rPr>
          <w:rFonts w:ascii="Verdana" w:hAnsi="Verdana" w:cs="Frutiger-Cn"/>
        </w:rPr>
        <w:t>Leila Reis Romão - ME, Módulo 20</w:t>
      </w:r>
    </w:p>
    <w:p w:rsidR="005336AD" w:rsidRPr="00C53861" w:rsidRDefault="005336AD" w:rsidP="005336AD">
      <w:pPr>
        <w:spacing w:after="0"/>
        <w:rPr>
          <w:rFonts w:ascii="Verdana" w:hAnsi="Verdana" w:cs="Frutiger-Cn"/>
        </w:rPr>
      </w:pPr>
      <w:proofErr w:type="spellStart"/>
      <w:r w:rsidRPr="00C53861">
        <w:rPr>
          <w:rFonts w:ascii="Verdana" w:hAnsi="Verdana" w:cs="Frutiger-Cn"/>
        </w:rPr>
        <w:t>Hatsuko</w:t>
      </w:r>
      <w:proofErr w:type="spellEnd"/>
      <w:r w:rsidRPr="00C53861">
        <w:rPr>
          <w:rFonts w:ascii="Verdana" w:hAnsi="Verdana" w:cs="Frutiger-Cn"/>
        </w:rPr>
        <w:t xml:space="preserve"> </w:t>
      </w:r>
      <w:proofErr w:type="spellStart"/>
      <w:r w:rsidRPr="00C53861">
        <w:rPr>
          <w:rFonts w:ascii="Verdana" w:hAnsi="Verdana" w:cs="Frutiger-Cn"/>
        </w:rPr>
        <w:t>Shimabukuro</w:t>
      </w:r>
      <w:proofErr w:type="spellEnd"/>
      <w:r w:rsidRPr="00C53861">
        <w:rPr>
          <w:rFonts w:ascii="Verdana" w:hAnsi="Verdana" w:cs="Frutiger-Cn"/>
        </w:rPr>
        <w:t xml:space="preserve"> - ME, Módulo 79</w:t>
      </w:r>
    </w:p>
    <w:p w:rsidR="005336AD" w:rsidRPr="00C53861" w:rsidRDefault="005336AD" w:rsidP="00C53861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5336AD" w:rsidRPr="00C53861" w:rsidRDefault="005336AD" w:rsidP="00C53861">
      <w:pPr>
        <w:spacing w:after="0"/>
        <w:jc w:val="center"/>
        <w:rPr>
          <w:rFonts w:ascii="Verdana" w:hAnsi="Verdana" w:cs="Frutiger-Cn"/>
          <w:b/>
          <w:sz w:val="24"/>
        </w:rPr>
      </w:pPr>
      <w:r w:rsidRPr="00C53861">
        <w:rPr>
          <w:rFonts w:ascii="Verdana" w:hAnsi="Verdana" w:cs="Frutiger-Cn"/>
          <w:b/>
          <w:sz w:val="24"/>
        </w:rPr>
        <w:t>Tribunal de Contas, pág. 124</w:t>
      </w:r>
    </w:p>
    <w:p w:rsidR="005336AD" w:rsidRPr="00C53861" w:rsidRDefault="005336AD" w:rsidP="005336AD">
      <w:pPr>
        <w:spacing w:after="0"/>
        <w:rPr>
          <w:rFonts w:ascii="Verdana" w:hAnsi="Verdana" w:cs="Frutiger-Cn"/>
        </w:rPr>
      </w:pP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C53861">
        <w:rPr>
          <w:rFonts w:ascii="Verdana" w:hAnsi="Verdana" w:cs="Arial"/>
          <w:b/>
          <w:bCs/>
        </w:rPr>
        <w:t>14 - FUNÇÃO GESTÃO AMBIENTAL</w:t>
      </w:r>
    </w:p>
    <w:p w:rsidR="005336AD" w:rsidRPr="00C53861" w:rsidRDefault="005336AD" w:rsidP="00C538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De acordo com a Auditoria, foram liquidados na Função Gestão Ambiental R$ 242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milhões em 2016.</w:t>
      </w:r>
    </w:p>
    <w:p w:rsidR="005336AD" w:rsidRPr="00C53861" w:rsidRDefault="005336AD" w:rsidP="005336AD">
      <w:pPr>
        <w:spacing w:after="0"/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drawing>
          <wp:inline distT="0" distB="0" distL="0" distR="0" wp14:anchorId="183B0E08" wp14:editId="2C960719">
            <wp:extent cx="5772482" cy="12825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10" cy="128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lastRenderedPageBreak/>
        <w:t>A Auditoria observa que para muitas ações dos programas 3005 e 3020 não foram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fixadas metas físicas, o que compromete a avaliação da eficácia das ações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implementadas.</w:t>
      </w:r>
    </w:p>
    <w:p w:rsidR="005336AD" w:rsidRPr="00C53861" w:rsidRDefault="005336AD" w:rsidP="00C538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A única ação do programa 3005 – Coleta Seletiva de Resíduos Secos e Orgânicos é a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 xml:space="preserve">3391 – Implantação de </w:t>
      </w:r>
      <w:proofErr w:type="spellStart"/>
      <w:r w:rsidRPr="00C53861">
        <w:rPr>
          <w:rFonts w:ascii="Verdana" w:hAnsi="Verdana" w:cs="Arial"/>
        </w:rPr>
        <w:t>Ecopontos</w:t>
      </w:r>
      <w:proofErr w:type="spellEnd"/>
      <w:r w:rsidRPr="00C53861">
        <w:rPr>
          <w:rFonts w:ascii="Verdana" w:hAnsi="Verdana" w:cs="Arial"/>
        </w:rPr>
        <w:t>. A Auditoria destaca que a LOA/2016 destinou valor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apenas simbólico a esse programa e, ao fim do exercício, nenhum recurso foi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empenhado e liquidado para a implementação dessa ação.</w:t>
      </w:r>
    </w:p>
    <w:p w:rsidR="005336AD" w:rsidRPr="00C53861" w:rsidRDefault="005336AD" w:rsidP="005336AD">
      <w:pPr>
        <w:spacing w:after="0"/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drawing>
          <wp:inline distT="0" distB="0" distL="0" distR="0" wp14:anchorId="5C302445" wp14:editId="3DEC4C2D">
            <wp:extent cx="5735781" cy="316851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883" cy="316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Além de ações inseridas na Função Gest</w:t>
      </w:r>
      <w:r w:rsidR="00C53861">
        <w:rPr>
          <w:rFonts w:ascii="Verdana" w:hAnsi="Verdana" w:cs="Arial"/>
        </w:rPr>
        <w:t>ão Ambiental, o programa 3020 é c</w:t>
      </w:r>
      <w:r w:rsidRPr="00C53861">
        <w:rPr>
          <w:rFonts w:ascii="Verdana" w:hAnsi="Verdana" w:cs="Arial"/>
        </w:rPr>
        <w:t>omposto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por ações das Funções Urbanismo e Habitação. A Auditoria registra que do total de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R$ 164.773.360 liquidados no programa, R$ 95.020.585,55 (57,7%) são recursos do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orçamento de SVMA, e R$ 69.752.774,65 (42,3%) são recursos advindos do FEMA,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cujos valores foram utilizados, principalmente, para despesas de natureza continuada,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especialmente a contratação dos serviços de manejo, conservação e vigilância dos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parques.</w:t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De acordo com a Auditoria, as despesas mais representativas do programa, em 2016,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corresponderam às ações 6678 - Operação, Manutenção e Conservação de Parques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e 7136 - Implantação de Parques e Unidades de Conservação. Em relação à primeira,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6678 – Operação Manutenção e Conservação de Parques, é preciso registrar que o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percentual liquidado até 2016 - 72,6% do previsto no PPA 2014/2017, foi obtido por</w:t>
      </w:r>
      <w:r w:rsidR="00C53861">
        <w:rPr>
          <w:rFonts w:ascii="Verdana" w:hAnsi="Verdana" w:cs="Arial"/>
        </w:rPr>
        <w:t xml:space="preserve"> meio dos </w:t>
      </w:r>
      <w:r w:rsidRPr="00C53861">
        <w:rPr>
          <w:rFonts w:ascii="Verdana" w:hAnsi="Verdana" w:cs="Arial"/>
        </w:rPr>
        <w:t>recursos advindos do FEMA para serviços não compatíveis com os objetivos</w:t>
      </w:r>
    </w:p>
    <w:p w:rsidR="005336AD" w:rsidRPr="00C53861" w:rsidRDefault="005336AD" w:rsidP="00C538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do Fundo. De outra parte, outras ações não tiveram realização ou sua realização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mostrou-se muito inferior ao previsto no PPA, a exemplo da Manutenção de Árvores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Consolidadas (6681), Apoio a Ações Ambientais (6654) e Fiscalização e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Monitoramento Ambiental (6660).</w:t>
      </w:r>
    </w:p>
    <w:p w:rsidR="005336AD" w:rsidRPr="00C53861" w:rsidRDefault="005336AD" w:rsidP="005336AD">
      <w:pPr>
        <w:spacing w:after="0"/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3E3FF6E7" wp14:editId="36EFC653">
            <wp:extent cx="5664529" cy="487784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624" cy="48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Pr="00C53861" w:rsidRDefault="005336AD" w:rsidP="005336AD">
      <w:pPr>
        <w:spacing w:after="0"/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drawing>
          <wp:inline distT="0" distB="0" distL="0" distR="0" wp14:anchorId="67596E9E" wp14:editId="6CF59211">
            <wp:extent cx="5522026" cy="686874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197" cy="68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Em relação às metas físicas previstas no PPA 2014/2017, a Auditoria aponta que, ou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não há informação, ou, quando há, o cumprimento até o fim do quadriênio está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comprometido, com exceção da ação Implantação de Parques e Unidades de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Conservação, que superou em 50% a meta, e da ação Plantio de Árvores, que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realizou mais de quatro vezes a meta física prevista no PPA. Portanto, de forma geral,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os resultados apresentados evidenciam o não atendimento das metas parciais e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dificuldades para o atingimento das metas fixadas para o quadriênio.</w:t>
      </w:r>
    </w:p>
    <w:p w:rsidR="005336AD" w:rsidRPr="00C53861" w:rsidRDefault="005336AD" w:rsidP="00C538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Com relação à ação Fiscalização e Monitoramento Ambiental, a série histórica do seu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desempenho financeiro, iniciada em 2010, mostra contínua redução da execução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orçamentária até configurar sua descontinuidade a partir do ano de 2015, destaca a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Auditoria .</w:t>
      </w:r>
    </w:p>
    <w:p w:rsidR="005336AD" w:rsidRPr="00C53861" w:rsidRDefault="005336AD" w:rsidP="005336AD">
      <w:pPr>
        <w:spacing w:after="0"/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drawing>
          <wp:inline distT="0" distB="0" distL="0" distR="0" wp14:anchorId="037CC53E" wp14:editId="64A7925E">
            <wp:extent cx="5872337" cy="116378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80" cy="116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AD" w:rsidRPr="00C53861" w:rsidRDefault="005336AD" w:rsidP="00533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lastRenderedPageBreak/>
        <w:t>Contudo, deixou de ser esclarecido no RAF que houve mudança de rubrica dessa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atividade, e que, diferentemente do que vinha ocorrendo nos anos anteriores, quando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a fiscalização estava associada a ações de desfazimento de edificações da Operação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Defesa das Águas, a fiscalização ambiental ora considerada, passou a ser realizada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exclusivamente com recursos humanos próprios. A publicação anual de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SVMA/DECONT do Relatório de Qualidade do Meio Ambiente atesta e especifica as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ações de fiscalização realizadas.</w:t>
      </w:r>
    </w:p>
    <w:p w:rsidR="005336AD" w:rsidRPr="00C53861" w:rsidRDefault="005336AD" w:rsidP="00C538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De acordo com a Auditoria, as ações Atividade de Sensibilização de Educação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Ambiental e Cultura de Paz e Implantação de Polos de Difusão de Educação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Ambiental têm resultado físico e financeiro zerado, ao passo que a quase totalidade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dos recursos da ação 6669 (94,3%) foi destinada ao convênio de SVMA com a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FUNDATEC para a seleção de profissionais para atuação em cursos de Educação em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Astronomia e Meio Ambiente, e à manutenção preventiva e corretiva de equipamentos</w:t>
      </w:r>
      <w:r w:rsidR="00C53861"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do Planetário do Parque do Ibirapuera.</w:t>
      </w:r>
    </w:p>
    <w:p w:rsidR="00C53861" w:rsidRDefault="00C53861" w:rsidP="00C538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C53861">
        <w:rPr>
          <w:rFonts w:ascii="Verdana" w:hAnsi="Verdana" w:cs="Arial"/>
        </w:rPr>
        <w:t>De acordo com a Auditoria, além destes indicadores legais, o PPA 2014/2017 previu</w:t>
      </w:r>
      <w:r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outros três indicadores com números iniciais, porém sem metas ou índices finais de</w:t>
      </w:r>
      <w:r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forma a permitir a avaliação dos resultados do programa ao fim do quadriênio. Desses,</w:t>
      </w:r>
      <w:r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os indicadores Emissão Veicular de GEE por Veículo, e, Contribuição de Automóveis</w:t>
      </w:r>
      <w:r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para Emissões de GEE, não possuem dados fornecidos pela CETESB para o ano de</w:t>
      </w:r>
      <w:r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2016. Já em relação ao indicador que mede a proporção de prédios novos verdes, não</w:t>
      </w:r>
      <w:r>
        <w:rPr>
          <w:rFonts w:ascii="Verdana" w:hAnsi="Verdana" w:cs="Arial"/>
        </w:rPr>
        <w:t xml:space="preserve"> </w:t>
      </w:r>
      <w:r w:rsidRPr="00C53861">
        <w:rPr>
          <w:rFonts w:ascii="Verdana" w:hAnsi="Verdana" w:cs="Arial"/>
        </w:rPr>
        <w:t>foram encontradas publicações de SVMA que permitam a análise desse índice.</w:t>
      </w:r>
    </w:p>
    <w:p w:rsidR="00C53861" w:rsidRPr="00C53861" w:rsidRDefault="00C53861" w:rsidP="00C538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C53861" w:rsidRPr="00C53861" w:rsidRDefault="00C53861" w:rsidP="00C53861">
      <w:pPr>
        <w:spacing w:after="0"/>
        <w:rPr>
          <w:rFonts w:ascii="Verdana" w:hAnsi="Verdana"/>
          <w:b/>
        </w:rPr>
      </w:pPr>
      <w:r w:rsidRPr="00C53861">
        <w:rPr>
          <w:rFonts w:ascii="Verdana" w:hAnsi="Verdana"/>
          <w:b/>
          <w:noProof/>
          <w:lang w:eastAsia="pt-BR"/>
        </w:rPr>
        <w:drawing>
          <wp:inline distT="0" distB="0" distL="0" distR="0" wp14:anchorId="768F87CB" wp14:editId="7B595B99">
            <wp:extent cx="5866410" cy="923638"/>
            <wp:effectExtent l="0" t="0" r="12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848" cy="92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1A" w:rsidRDefault="00C53861">
      <w:bookmarkStart w:id="0" w:name="_GoBack"/>
      <w:bookmarkEnd w:id="0"/>
    </w:p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AD"/>
    <w:rsid w:val="003024AE"/>
    <w:rsid w:val="005336AD"/>
    <w:rsid w:val="00AF6802"/>
    <w:rsid w:val="00C5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2017-07-25T11:14:00Z</dcterms:created>
  <dcterms:modified xsi:type="dcterms:W3CDTF">2017-07-25T11:35:00Z</dcterms:modified>
</cp:coreProperties>
</file>