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3B" w:rsidRDefault="00644B3B" w:rsidP="00644B3B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3B115F0" wp14:editId="1BA37613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B3B" w:rsidRDefault="00644B3B" w:rsidP="00644B3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B3B" w:rsidRPr="00825C59" w:rsidRDefault="00644B3B" w:rsidP="00644B3B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9F0E18" w:rsidRPr="00825C59">
        <w:rPr>
          <w:rFonts w:ascii="Verdana" w:hAnsi="Verdana"/>
          <w:b/>
          <w:sz w:val="24"/>
          <w:szCs w:val="24"/>
        </w:rPr>
        <w:t>4</w:t>
      </w:r>
      <w:r w:rsidR="002F4A11">
        <w:rPr>
          <w:rFonts w:ascii="Verdana" w:hAnsi="Verdana"/>
          <w:b/>
          <w:sz w:val="24"/>
          <w:szCs w:val="24"/>
        </w:rPr>
        <w:t>3</w:t>
      </w:r>
      <w:r w:rsidRPr="00825C59">
        <w:rPr>
          <w:rFonts w:ascii="Verdana" w:hAnsi="Verdana"/>
          <w:b/>
          <w:sz w:val="24"/>
          <w:szCs w:val="24"/>
        </w:rPr>
        <w:t xml:space="preserve">, Ano 63, </w:t>
      </w:r>
      <w:r w:rsidR="007B5612">
        <w:rPr>
          <w:rFonts w:ascii="Verdana" w:hAnsi="Verdana"/>
          <w:b/>
          <w:sz w:val="24"/>
          <w:szCs w:val="24"/>
        </w:rPr>
        <w:t>Quin</w:t>
      </w:r>
      <w:r w:rsidR="00EB693E">
        <w:rPr>
          <w:rFonts w:ascii="Verdana" w:hAnsi="Verdana"/>
          <w:b/>
          <w:sz w:val="24"/>
          <w:szCs w:val="24"/>
        </w:rPr>
        <w:t>t</w:t>
      </w:r>
      <w:r w:rsidR="00634654">
        <w:rPr>
          <w:rFonts w:ascii="Verdana" w:hAnsi="Verdana"/>
          <w:b/>
          <w:sz w:val="24"/>
          <w:szCs w:val="24"/>
        </w:rPr>
        <w:t>a-feira</w:t>
      </w:r>
      <w:r w:rsidRPr="00825C59">
        <w:rPr>
          <w:rFonts w:ascii="Verdana" w:hAnsi="Verdana"/>
          <w:b/>
          <w:sz w:val="24"/>
          <w:szCs w:val="24"/>
        </w:rPr>
        <w:t>.</w:t>
      </w:r>
    </w:p>
    <w:p w:rsidR="00644B3B" w:rsidRDefault="009F0E18" w:rsidP="000700AD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>0</w:t>
      </w:r>
      <w:r w:rsidR="007B5612">
        <w:rPr>
          <w:rFonts w:ascii="Verdana" w:hAnsi="Verdana"/>
          <w:b/>
          <w:sz w:val="24"/>
          <w:szCs w:val="24"/>
        </w:rPr>
        <w:t>8</w:t>
      </w:r>
      <w:r w:rsidR="00644B3B" w:rsidRPr="00825C59">
        <w:rPr>
          <w:rFonts w:ascii="Verdana" w:hAnsi="Verdana"/>
          <w:b/>
          <w:sz w:val="24"/>
          <w:szCs w:val="24"/>
        </w:rPr>
        <w:t xml:space="preserve"> de Março de 2018</w:t>
      </w:r>
    </w:p>
    <w:p w:rsidR="000700AD" w:rsidRDefault="000700AD" w:rsidP="000700AD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2F4A11" w:rsidRDefault="002F4A11" w:rsidP="002F4A11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2F4A11">
        <w:rPr>
          <w:rFonts w:ascii="Verdana" w:hAnsi="Verdana"/>
          <w:b/>
          <w:sz w:val="24"/>
          <w:szCs w:val="24"/>
        </w:rPr>
        <w:t>G</w:t>
      </w:r>
      <w:r>
        <w:rPr>
          <w:rFonts w:ascii="Verdana" w:hAnsi="Verdana"/>
          <w:b/>
          <w:sz w:val="24"/>
          <w:szCs w:val="24"/>
        </w:rPr>
        <w:t>abinete do Prefeito</w:t>
      </w:r>
      <w:r w:rsidRPr="002F4A11">
        <w:rPr>
          <w:rFonts w:ascii="Verdana" w:hAnsi="Verdana"/>
          <w:b/>
          <w:sz w:val="24"/>
          <w:szCs w:val="24"/>
        </w:rPr>
        <w:t>, pág. 01</w:t>
      </w:r>
    </w:p>
    <w:p w:rsidR="002F4A11" w:rsidRDefault="002F4A11" w:rsidP="002F4A11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</w:rPr>
      </w:pPr>
      <w:r w:rsidRPr="002F4A11">
        <w:rPr>
          <w:rFonts w:ascii="Frutiger-BlackCn" w:hAnsi="Frutiger-BlackCn" w:cs="Frutiger-BlackCn"/>
          <w:b/>
          <w:bCs/>
          <w:color w:val="000000"/>
        </w:rPr>
        <w:t>TRABALHO E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</w:rPr>
      </w:pPr>
      <w:r w:rsidRPr="002F4A11">
        <w:rPr>
          <w:rFonts w:ascii="Frutiger-BlackCn" w:hAnsi="Frutiger-BlackCn" w:cs="Frutiger-BlackCn"/>
          <w:b/>
          <w:bCs/>
          <w:color w:val="000000"/>
        </w:rPr>
        <w:t>EMPREENDEDORISMO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</w:rPr>
      </w:pPr>
      <w:r w:rsidRPr="002F4A11">
        <w:rPr>
          <w:rFonts w:ascii="Frutiger-BoldCn" w:hAnsi="Frutiger-BoldCn" w:cs="Frutiger-BoldCn"/>
          <w:b/>
          <w:bCs/>
          <w:color w:val="727272"/>
        </w:rPr>
        <w:t>GABINETE DA SECRETÁRIA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</w:rPr>
      </w:pPr>
      <w:r w:rsidRPr="002F4A11">
        <w:rPr>
          <w:rFonts w:ascii="Frutiger-BlackCn" w:hAnsi="Frutiger-BlackCn" w:cs="Frutiger-BlackCn"/>
          <w:b/>
          <w:bCs/>
          <w:color w:val="000000"/>
        </w:rPr>
        <w:t>DESPACHO DA SECRETÁRIA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</w:rPr>
      </w:pPr>
      <w:r w:rsidRPr="002F4A11">
        <w:rPr>
          <w:rFonts w:ascii="Frutiger-BoldCn" w:hAnsi="Frutiger-BoldCn" w:cs="Frutiger-BoldCn"/>
          <w:b/>
          <w:bCs/>
          <w:color w:val="000000"/>
        </w:rPr>
        <w:t>6064.2018/0000266-7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2F4A11">
        <w:rPr>
          <w:rFonts w:ascii="Frutiger-Cn" w:hAnsi="Frutiger-Cn" w:cs="Frutiger-Cn"/>
          <w:color w:val="000000"/>
        </w:rPr>
        <w:t>I – No exercício da competência que me foi atribuída por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2F4A11">
        <w:rPr>
          <w:rFonts w:ascii="Frutiger-Cn" w:hAnsi="Frutiger-Cn" w:cs="Frutiger-Cn"/>
          <w:color w:val="000000"/>
        </w:rPr>
        <w:t>Lei, à vista dos elementos de convicção contidos no presente,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2F4A11">
        <w:rPr>
          <w:rFonts w:ascii="Frutiger-Cn" w:hAnsi="Frutiger-Cn" w:cs="Frutiger-Cn"/>
          <w:color w:val="000000"/>
        </w:rPr>
        <w:t>especialmente a justificativa da Coordenadoria do Trabalho,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2F4A11">
        <w:rPr>
          <w:rFonts w:ascii="Frutiger-Cn" w:hAnsi="Frutiger-Cn" w:cs="Frutiger-Cn"/>
          <w:color w:val="000000"/>
        </w:rPr>
        <w:t>que ora acato, bem como da manifestação da Supervisão de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2F4A11">
        <w:rPr>
          <w:rFonts w:ascii="Frutiger-Cn" w:hAnsi="Frutiger-Cn" w:cs="Frutiger-Cn"/>
          <w:color w:val="000000"/>
        </w:rPr>
        <w:t>Execução Orçamentária e Financeira, com fundamento no art.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2F4A11">
        <w:rPr>
          <w:rFonts w:ascii="Frutiger-Cn" w:hAnsi="Frutiger-Cn" w:cs="Frutiger-Cn"/>
          <w:color w:val="000000"/>
        </w:rPr>
        <w:t>60 da lei Federal 4.320/1964 e do art. 1º, do Decreto Municipal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2F4A11">
        <w:rPr>
          <w:rFonts w:ascii="Frutiger-Cn" w:hAnsi="Frutiger-Cn" w:cs="Frutiger-Cn"/>
          <w:color w:val="000000"/>
        </w:rPr>
        <w:t>nº 44.891/04, AUTORIZO a emissão da Nota de Empenho e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2F4A11">
        <w:rPr>
          <w:rFonts w:ascii="Frutiger-Cn" w:hAnsi="Frutiger-Cn" w:cs="Frutiger-Cn"/>
          <w:color w:val="000000"/>
        </w:rPr>
        <w:t>Pagamento, sem prejuízo da regular liquidação, no valor de R$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2F4A11">
        <w:rPr>
          <w:rFonts w:ascii="Frutiger-Cn" w:hAnsi="Frutiger-Cn" w:cs="Frutiger-Cn"/>
          <w:color w:val="000000"/>
        </w:rPr>
        <w:t>235.366,11 (duzentos e trinta e cinco mil, trezentos e sessenta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2F4A11">
        <w:rPr>
          <w:rFonts w:ascii="Frutiger-Cn" w:hAnsi="Frutiger-Cn" w:cs="Frutiger-Cn"/>
          <w:color w:val="000000"/>
        </w:rPr>
        <w:t>e seis reais e onze centavos), em favor de AÇÃO COLETIVA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2F4A11">
        <w:rPr>
          <w:rFonts w:ascii="Frutiger-Cn" w:hAnsi="Frutiger-Cn" w:cs="Frutiger-Cn"/>
          <w:color w:val="000000"/>
        </w:rPr>
        <w:t>DO TRABALHO, CNPJ nº. 00.000.000/9651-20, que onerará a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2F4A11">
        <w:rPr>
          <w:rFonts w:ascii="Frutiger-Cn" w:hAnsi="Frutiger-Cn" w:cs="Frutiger-Cn"/>
          <w:color w:val="000000"/>
        </w:rPr>
        <w:t>dotação 30.10.11.333.3019.8088.33.90.48.00.00, referente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2F4A11">
        <w:rPr>
          <w:rFonts w:ascii="Frutiger-Cn" w:hAnsi="Frutiger-Cn" w:cs="Frutiger-Cn"/>
          <w:color w:val="000000"/>
        </w:rPr>
        <w:t>ao Projeto “Telecentros Comunitários em Espaços Públicos”,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2F4A11">
        <w:rPr>
          <w:rFonts w:ascii="Frutiger-Cn" w:hAnsi="Frutiger-Cn" w:cs="Frutiger-Cn"/>
          <w:color w:val="000000"/>
        </w:rPr>
        <w:t>com beneficiários atendidos no âmbito do Programa Operação</w:t>
      </w:r>
    </w:p>
    <w:p w:rsidR="002F4A11" w:rsidRPr="002F4A11" w:rsidRDefault="002F4A11" w:rsidP="002F4A11">
      <w:pPr>
        <w:spacing w:after="0"/>
        <w:rPr>
          <w:rFonts w:ascii="Frutiger-Cn" w:hAnsi="Frutiger-Cn" w:cs="Frutiger-Cn"/>
          <w:color w:val="000000"/>
        </w:rPr>
      </w:pPr>
      <w:r w:rsidRPr="002F4A11">
        <w:rPr>
          <w:rFonts w:ascii="Frutiger-Cn" w:hAnsi="Frutiger-Cn" w:cs="Frutiger-Cn"/>
          <w:color w:val="000000"/>
        </w:rPr>
        <w:t>Trabalho – POT, no período de 21/01/2018 a 07/03/2018.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</w:rPr>
      </w:pPr>
      <w:r w:rsidRPr="002F4A11">
        <w:rPr>
          <w:rFonts w:ascii="Frutiger-BlackCn" w:hAnsi="Frutiger-BlackCn" w:cs="Frutiger-BlackCn"/>
          <w:b/>
          <w:bCs/>
          <w:color w:val="000000"/>
        </w:rPr>
        <w:t>EXTRATO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2F4A11">
        <w:rPr>
          <w:rFonts w:ascii="Frutiger-Cn" w:hAnsi="Frutiger-Cn" w:cs="Frutiger-Cn"/>
          <w:color w:val="000000"/>
        </w:rPr>
        <w:t>4° ADITAMENTO AO TERMO DE COOPERAÇÃO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</w:rPr>
      </w:pPr>
      <w:r w:rsidRPr="002F4A11">
        <w:rPr>
          <w:rFonts w:ascii="Frutiger-BoldCn" w:hAnsi="Frutiger-BoldCn" w:cs="Frutiger-BoldCn"/>
          <w:b/>
          <w:bCs/>
          <w:color w:val="000000"/>
        </w:rPr>
        <w:t>6064.2017/0000628-8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2F4A11">
        <w:rPr>
          <w:rFonts w:ascii="Frutiger-Cn" w:hAnsi="Frutiger-Cn" w:cs="Frutiger-Cn"/>
          <w:color w:val="000000"/>
        </w:rPr>
        <w:t>Partícipes: Secretaria Municipal do Trabalho e Empreendedorismo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2F4A11">
        <w:rPr>
          <w:rFonts w:ascii="Frutiger-Cn" w:hAnsi="Frutiger-Cn" w:cs="Frutiger-Cn"/>
          <w:color w:val="000000"/>
        </w:rPr>
        <w:t>– SMTE e Prefeitura Regional do Jabaquara.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2F4A11">
        <w:rPr>
          <w:rFonts w:ascii="Frutiger-Cn" w:hAnsi="Frutiger-Cn" w:cs="Frutiger-Cn"/>
          <w:color w:val="000000"/>
        </w:rPr>
        <w:t>Objeto deste aditamento: Prorrogação.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2F4A11">
        <w:rPr>
          <w:rFonts w:ascii="Frutiger-Cn" w:hAnsi="Frutiger-Cn" w:cs="Frutiger-Cn"/>
          <w:color w:val="000000"/>
        </w:rPr>
        <w:t>Cláusula Primeira do Objeto: O objeto do presente instrumento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2F4A11">
        <w:rPr>
          <w:rFonts w:ascii="Frutiger-Cn" w:hAnsi="Frutiger-Cn" w:cs="Frutiger-Cn"/>
          <w:color w:val="000000"/>
        </w:rPr>
        <w:t>de aditamento consiste na prorrogação do prazo de vigência ao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2F4A11">
        <w:rPr>
          <w:rFonts w:ascii="Frutiger-Cn" w:hAnsi="Frutiger-Cn" w:cs="Frutiger-Cn"/>
          <w:color w:val="000000"/>
        </w:rPr>
        <w:t>Termo de Cooperação, pelo período de 24 (vinte e quatro) meses,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2F4A11">
        <w:rPr>
          <w:rFonts w:ascii="Frutiger-Cn" w:hAnsi="Frutiger-Cn" w:cs="Frutiger-Cn"/>
          <w:color w:val="000000"/>
        </w:rPr>
        <w:t>contados a partir de 23 de fevereiro de 2018. Cláusula Segunda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2F4A11">
        <w:rPr>
          <w:rFonts w:ascii="Frutiger-Cn" w:hAnsi="Frutiger-Cn" w:cs="Frutiger-Cn"/>
          <w:color w:val="000000"/>
        </w:rPr>
        <w:t>da Ratificação: 2.1. As partes, de comum acordo e sem ânimo de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2F4A11">
        <w:rPr>
          <w:rFonts w:ascii="Frutiger-Cn" w:hAnsi="Frutiger-Cn" w:cs="Frutiger-Cn"/>
          <w:color w:val="000000"/>
        </w:rPr>
        <w:t>novar, ratificam os demais termos, cláusulas e condições do Termo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2F4A11">
        <w:rPr>
          <w:rFonts w:ascii="Frutiger-Cn" w:hAnsi="Frutiger-Cn" w:cs="Frutiger-Cn"/>
          <w:color w:val="000000"/>
        </w:rPr>
        <w:t>de Cooperação inicial.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2F4A11">
        <w:rPr>
          <w:rFonts w:ascii="Frutiger-Cn" w:hAnsi="Frutiger-Cn" w:cs="Frutiger-Cn"/>
          <w:color w:val="000000"/>
        </w:rPr>
        <w:t>Data da assinatura: 22/02/2018.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2F4A11">
        <w:rPr>
          <w:rFonts w:ascii="Frutiger-Cn" w:hAnsi="Frutiger-Cn" w:cs="Frutiger-Cn"/>
          <w:color w:val="000000"/>
        </w:rPr>
        <w:t>Signatários: Aline Pereira Cardoso de Sá Barabinot, pela SMTE e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2F4A11">
        <w:rPr>
          <w:rFonts w:ascii="Frutiger-Cn" w:hAnsi="Frutiger-Cn" w:cs="Frutiger-Cn"/>
          <w:color w:val="000000"/>
        </w:rPr>
        <w:t>Maria de Fátima Marques Fernandes, pela PR-JA.</w:t>
      </w:r>
    </w:p>
    <w:p w:rsid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</w:rPr>
      </w:pPr>
    </w:p>
    <w:p w:rsidR="00E50574" w:rsidRDefault="00E50574" w:rsidP="002F4A1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</w:rPr>
      </w:pPr>
    </w:p>
    <w:p w:rsidR="00E50574" w:rsidRDefault="00E50574" w:rsidP="002F4A1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</w:rPr>
      </w:pPr>
    </w:p>
    <w:p w:rsidR="00E50574" w:rsidRDefault="00E50574" w:rsidP="002F4A1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</w:rPr>
      </w:pP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</w:rPr>
      </w:pPr>
      <w:r w:rsidRPr="002F4A11">
        <w:rPr>
          <w:rFonts w:ascii="Frutiger-BoldCn" w:hAnsi="Frutiger-BoldCn" w:cs="Frutiger-BoldCn"/>
          <w:b/>
          <w:bCs/>
          <w:color w:val="727272"/>
        </w:rPr>
        <w:lastRenderedPageBreak/>
        <w:t>FUNDAÇÃO PAULISTANA DE EDUCAÇÃO E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</w:rPr>
      </w:pPr>
      <w:r w:rsidRPr="002F4A11">
        <w:rPr>
          <w:rFonts w:ascii="Frutiger-BoldCn" w:hAnsi="Frutiger-BoldCn" w:cs="Frutiger-BoldCn"/>
          <w:b/>
          <w:bCs/>
          <w:color w:val="727272"/>
        </w:rPr>
        <w:t>TECNOLOGIA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</w:rPr>
      </w:pPr>
      <w:r w:rsidRPr="002F4A11">
        <w:rPr>
          <w:rFonts w:ascii="Frutiger-BoldCn" w:hAnsi="Frutiger-BoldCn" w:cs="Frutiger-BoldCn"/>
          <w:b/>
          <w:bCs/>
          <w:color w:val="000000"/>
        </w:rPr>
        <w:t>Processo nº 8110.2017/0000133-7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2F4A11">
        <w:rPr>
          <w:rFonts w:ascii="Frutiger-Cn" w:hAnsi="Frutiger-Cn" w:cs="Frutiger-Cn"/>
          <w:color w:val="000000"/>
        </w:rPr>
        <w:t>INTERESSADO: FUNDAÇÃO PAULISTANA DE EDUCAÇÃO,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2F4A11">
        <w:rPr>
          <w:rFonts w:ascii="Frutiger-Cn" w:hAnsi="Frutiger-Cn" w:cs="Frutiger-Cn"/>
          <w:color w:val="000000"/>
        </w:rPr>
        <w:t>TECNOLOGIA E CULTURA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2F4A11">
        <w:rPr>
          <w:rFonts w:ascii="Frutiger-Cn" w:hAnsi="Frutiger-Cn" w:cs="Frutiger-Cn"/>
          <w:color w:val="000000"/>
        </w:rPr>
        <w:t>ASSUNTO: Permissão de uso de áreas da Escola Técnica de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2F4A11">
        <w:rPr>
          <w:rFonts w:ascii="Frutiger-Cn" w:hAnsi="Frutiger-Cn" w:cs="Frutiger-Cn"/>
          <w:color w:val="000000"/>
        </w:rPr>
        <w:t>Saúde Pública Prof. Makiguti do Centro de Formação Cultural Cidade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2F4A11">
        <w:rPr>
          <w:rFonts w:ascii="Frutiger-Cn" w:hAnsi="Frutiger-Cn" w:cs="Frutiger-Cn"/>
          <w:color w:val="000000"/>
        </w:rPr>
        <w:t>Tiradentes para instalação de cantinas nas respectivas áreas,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2F4A11">
        <w:rPr>
          <w:rFonts w:ascii="Frutiger-Cn" w:hAnsi="Frutiger-Cn" w:cs="Frutiger-Cn"/>
          <w:color w:val="000000"/>
        </w:rPr>
        <w:t>visando a melhoria do atendimento ao público dos equipamentos.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2F4A11">
        <w:rPr>
          <w:rFonts w:ascii="Frutiger-Cn" w:hAnsi="Frutiger-Cn" w:cs="Frutiger-Cn"/>
          <w:color w:val="000000"/>
        </w:rPr>
        <w:t>Pregão eletrônico.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2F4A11">
        <w:rPr>
          <w:rFonts w:ascii="Frutiger-Cn" w:hAnsi="Frutiger-Cn" w:cs="Frutiger-Cn"/>
          <w:color w:val="000000"/>
        </w:rPr>
        <w:t>I - À vista da instrução do presente processo, com aplicação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2F4A11">
        <w:rPr>
          <w:rFonts w:ascii="Frutiger-Cn" w:hAnsi="Frutiger-Cn" w:cs="Frutiger-Cn"/>
          <w:color w:val="000000"/>
        </w:rPr>
        <w:t>subsdiária da Lei Municipal nº. 13.278/2002, os Decretos Municipais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2F4A11">
        <w:rPr>
          <w:rFonts w:ascii="Frutiger-Cn" w:hAnsi="Frutiger-Cn" w:cs="Frutiger-Cn"/>
          <w:color w:val="000000"/>
        </w:rPr>
        <w:t>nº. 44.279/2003 e n° 46.662/2005, as Leis Federais nº. 10.520/2002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2F4A11">
        <w:rPr>
          <w:rFonts w:ascii="Frutiger-Cn" w:hAnsi="Frutiger-Cn" w:cs="Frutiger-Cn"/>
          <w:color w:val="000000"/>
        </w:rPr>
        <w:t>e nº. 8.666/1993 e com fundamento no artigo 25 do Estatuto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2F4A11">
        <w:rPr>
          <w:rFonts w:ascii="Frutiger-Cn" w:hAnsi="Frutiger-Cn" w:cs="Frutiger-Cn"/>
          <w:color w:val="000000"/>
        </w:rPr>
        <w:t>Social da Fundação Paulistana, instituído pelo Decreto Municipal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2F4A11">
        <w:rPr>
          <w:rFonts w:ascii="Frutiger-Cn" w:hAnsi="Frutiger-Cn" w:cs="Frutiger-Cn"/>
          <w:color w:val="000000"/>
        </w:rPr>
        <w:t>56.507/2015, e demais normas complementares, bem como demais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2F4A11">
        <w:rPr>
          <w:rFonts w:ascii="Frutiger-Cn" w:hAnsi="Frutiger-Cn" w:cs="Frutiger-Cn"/>
          <w:color w:val="000000"/>
        </w:rPr>
        <w:t>elementos do presente, em especial a manifestação da Assessoria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2F4A11">
        <w:rPr>
          <w:rFonts w:ascii="Frutiger-Cn" w:hAnsi="Frutiger-Cn" w:cs="Frutiger-Cn"/>
          <w:color w:val="000000"/>
        </w:rPr>
        <w:t>Jurídica desta Fundação (Parecer FUNDATEC/AJ n.º 7089053) APROVO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2F4A11">
        <w:rPr>
          <w:rFonts w:ascii="Frutiger-Cn" w:hAnsi="Frutiger-Cn" w:cs="Frutiger-Cn"/>
          <w:color w:val="000000"/>
        </w:rPr>
        <w:t>a minuta do edital anexa sob o Documento SEI n.º 6661018 e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2F4A11">
        <w:rPr>
          <w:rFonts w:ascii="Frutiger-Cn" w:hAnsi="Frutiger-Cn" w:cs="Frutiger-Cn"/>
          <w:color w:val="000000"/>
        </w:rPr>
        <w:t>AUTORIZO a abertura de procedimento licitatório, na modalidade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2F4A11">
        <w:rPr>
          <w:rFonts w:ascii="Frutiger-Cn" w:hAnsi="Frutiger-Cn" w:cs="Frutiger-Cn"/>
          <w:color w:val="000000"/>
        </w:rPr>
        <w:t>PREGÃO ELETRÔNICO, do tipo MAIOR PREÇO, objetivando a Permissão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2F4A11">
        <w:rPr>
          <w:rFonts w:ascii="Frutiger-Cn" w:hAnsi="Frutiger-Cn" w:cs="Frutiger-Cn"/>
          <w:color w:val="000000"/>
        </w:rPr>
        <w:t>de uso de áreas da Escola Técnica de Saúde Pública Prof.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2F4A11">
        <w:rPr>
          <w:rFonts w:ascii="Frutiger-Cn" w:hAnsi="Frutiger-Cn" w:cs="Frutiger-Cn"/>
          <w:color w:val="000000"/>
        </w:rPr>
        <w:t>Makiguti do Centro de Formação Cultural Cidade Tiradentes para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2F4A11">
        <w:rPr>
          <w:rFonts w:ascii="Frutiger-Cn" w:hAnsi="Frutiger-Cn" w:cs="Frutiger-Cn"/>
          <w:color w:val="000000"/>
        </w:rPr>
        <w:t>instalação de cantinas nas respectivas áreas, visando a melhoria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2F4A11">
        <w:rPr>
          <w:rFonts w:ascii="Frutiger-Cn" w:hAnsi="Frutiger-Cn" w:cs="Frutiger-Cn"/>
          <w:color w:val="000000"/>
        </w:rPr>
        <w:t>do atendimento ao público dos equipamentos, conforme requisição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2F4A11">
        <w:rPr>
          <w:rFonts w:ascii="Frutiger-Cn" w:hAnsi="Frutiger-Cn" w:cs="Frutiger-Cn"/>
          <w:color w:val="000000"/>
        </w:rPr>
        <w:t>e justificativas das Unidades juntadas no Documentos SEI n.º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2F4A11">
        <w:rPr>
          <w:rFonts w:ascii="Frutiger-Cn" w:hAnsi="Frutiger-Cn" w:cs="Frutiger-Cn"/>
          <w:color w:val="000000"/>
        </w:rPr>
        <w:t>3431659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2F4A11">
        <w:rPr>
          <w:rFonts w:ascii="Frutiger-Cn" w:hAnsi="Frutiger-Cn" w:cs="Frutiger-Cn"/>
          <w:color w:val="000000"/>
        </w:rPr>
        <w:t>II - Todo procedimento licitatório deverá ser acompanhado e</w:t>
      </w:r>
    </w:p>
    <w:p w:rsidR="002F4A11" w:rsidRPr="002F4A11" w:rsidRDefault="002F4A11" w:rsidP="002F4A1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2F4A11">
        <w:rPr>
          <w:rFonts w:ascii="Frutiger-Cn" w:hAnsi="Frutiger-Cn" w:cs="Frutiger-Cn"/>
          <w:color w:val="000000"/>
        </w:rPr>
        <w:t>fiscalizado pela Comissão Permanente de Licitação, instituída pela</w:t>
      </w:r>
    </w:p>
    <w:p w:rsidR="002F4A11" w:rsidRDefault="002F4A11" w:rsidP="002F4A11">
      <w:pPr>
        <w:spacing w:after="0"/>
        <w:rPr>
          <w:rFonts w:ascii="Frutiger-Cn" w:hAnsi="Frutiger-Cn" w:cs="Frutiger-Cn"/>
          <w:color w:val="000000"/>
        </w:rPr>
      </w:pPr>
      <w:r w:rsidRPr="002F4A11">
        <w:rPr>
          <w:rFonts w:ascii="Frutiger-Cn" w:hAnsi="Frutiger-Cn" w:cs="Frutiger-Cn"/>
          <w:color w:val="000000"/>
        </w:rPr>
        <w:t>Portaria 13/Fundação Paulistana/2017.</w:t>
      </w:r>
    </w:p>
    <w:p w:rsidR="00EE6AE4" w:rsidRDefault="00EE6AE4" w:rsidP="002F4A11">
      <w:pPr>
        <w:spacing w:after="0"/>
        <w:rPr>
          <w:rFonts w:ascii="Frutiger-Cn" w:hAnsi="Frutiger-Cn" w:cs="Frutiger-Cn"/>
          <w:color w:val="000000"/>
        </w:rPr>
      </w:pPr>
    </w:p>
    <w:p w:rsidR="00EE6AE4" w:rsidRDefault="00EE6AE4" w:rsidP="00EE6AE4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EE6AE4">
        <w:rPr>
          <w:rFonts w:ascii="Verdana" w:hAnsi="Verdana"/>
          <w:b/>
          <w:sz w:val="24"/>
          <w:szCs w:val="24"/>
        </w:rPr>
        <w:t>Secretarias, pág</w:t>
      </w:r>
      <w:r w:rsidR="00263C83">
        <w:rPr>
          <w:rFonts w:ascii="Verdana" w:hAnsi="Verdana"/>
          <w:b/>
          <w:sz w:val="24"/>
          <w:szCs w:val="24"/>
        </w:rPr>
        <w:t>s</w:t>
      </w:r>
      <w:r w:rsidRPr="00EE6AE4">
        <w:rPr>
          <w:rFonts w:ascii="Verdana" w:hAnsi="Verdana"/>
          <w:b/>
          <w:sz w:val="24"/>
          <w:szCs w:val="24"/>
        </w:rPr>
        <w:t>. 24</w:t>
      </w:r>
      <w:r w:rsidR="00AE0FC0">
        <w:rPr>
          <w:rFonts w:ascii="Verdana" w:hAnsi="Verdana"/>
          <w:b/>
          <w:sz w:val="24"/>
          <w:szCs w:val="24"/>
        </w:rPr>
        <w:t xml:space="preserve"> a 27</w:t>
      </w:r>
    </w:p>
    <w:p w:rsidR="00EE6AE4" w:rsidRDefault="00EE6AE4" w:rsidP="00EE6AE4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263C83" w:rsidRPr="00263C83" w:rsidRDefault="00263C83" w:rsidP="00EE6AE4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</w:rPr>
      </w:pPr>
      <w:r w:rsidRPr="00263C83">
        <w:rPr>
          <w:rFonts w:ascii="Frutiger-BoldCn" w:hAnsi="Frutiger-BoldCn" w:cs="Frutiger-BoldCn"/>
          <w:b/>
          <w:bCs/>
          <w:color w:val="000000"/>
        </w:rPr>
        <w:t>JUSTIÇA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</w:rPr>
      </w:pPr>
      <w:r w:rsidRPr="00EE6AE4">
        <w:rPr>
          <w:rFonts w:ascii="Frutiger-BoldCn" w:hAnsi="Frutiger-BoldCn" w:cs="Frutiger-BoldCn"/>
          <w:b/>
          <w:bCs/>
          <w:color w:val="727272"/>
        </w:rPr>
        <w:t>CONTROLADORIA GERAL DO MUNICÍPIO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</w:rPr>
      </w:pPr>
      <w:r w:rsidRPr="00EE6AE4">
        <w:rPr>
          <w:rFonts w:ascii="Frutiger-BlackCn" w:hAnsi="Frutiger-BlackCn" w:cs="Frutiger-BlackCn"/>
          <w:b/>
          <w:bCs/>
          <w:color w:val="000000"/>
        </w:rPr>
        <w:t>ATA DA 35ª REUNIÃO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</w:rPr>
      </w:pPr>
      <w:r w:rsidRPr="00EE6AE4">
        <w:rPr>
          <w:rFonts w:ascii="Frutiger-BoldCn" w:hAnsi="Frutiger-BoldCn" w:cs="Frutiger-BoldCn"/>
          <w:b/>
          <w:bCs/>
          <w:color w:val="000000"/>
        </w:rPr>
        <w:t>COMISSÃO MUNICIPAL DE ACESSO À INFORMAÇÃO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</w:rPr>
      </w:pPr>
      <w:r w:rsidRPr="00EE6AE4">
        <w:rPr>
          <w:rFonts w:ascii="Frutiger-BoldCn" w:hAnsi="Frutiger-BoldCn" w:cs="Frutiger-BoldCn"/>
          <w:b/>
          <w:bCs/>
          <w:color w:val="000000"/>
        </w:rPr>
        <w:t>– CMAI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No dia vinte e um de fevereiro de dois mil e dezoito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(21/02/2018), às 14 horas e 53 minutos (quatorze horas e cinquenta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e três minutos), na sala de reunião do Gabinete da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Controladoria Geral do Município, no décimo andar (10º and.)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do Edifício Matarazzo, realizou-se, ordinariamente, a trigésima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quinta (35ª) reunião da CMAI, com a presença dos(as) Ilmos.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(as) senhores(as): Guilherme Rodrigues Monteiro Mendes –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Controlador Geral da CGM-SMJ e Presidente da CMAI; Fábio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Souza dos Santos – Secretário da SECOM; Eduardo Barbin Barbosa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– Secretário Adjunto da SMDHC; Fábio Teizo Belo da Silva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– Secretário Adjunto da SMG; Vladimir de Souza Alves – Secretário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Adjunto da SMJ; Arlinton Nakazawa – Chefe de Gabinete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da SF; Carolina Boaventura – Assessora Técnica do Gabinete do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Prefeito; Renato Corte Lopes – Coordenador da COPI-CGM e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Secretário Executivo da CMAI; Igor Denisard Dantas Melo – Auditor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da COPI-CGM, e Helidiana Simões de Araujo, Assessora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lastRenderedPageBreak/>
        <w:t>Técnica I da COPI-CGM. Apesar de ausente o representante da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Secretaria de Governo Municipal e da Secretaria Municipal da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Fazenda estar representada pelo Chefe de Gabinete, restou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atingido o quórum mínimo para a realização da reunião ordinária.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I. Presença do Secretário Municipal da Saúde (SMS). O Secretário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Executivo da CMAI iniciou os trabalhos ressaltando 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presença do Secretário Municipal da Saúde, Senhor Wilson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Pollara. O Presidente da CMAI apontou a necessidade de aprimoramento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na qualidade das respostas dos pedidos de acesso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à informação destinados à Secretaria Municipal de Saúde. 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Secretário Executivo da CMAI apresentou relatório elaborado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pela Divisão de Transparência Passiva, da Ouvidoria Geral do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Município, demonstrando que, referente ao quantitativo de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atendimentos do sistema e-SIC, a SMS possui boa avaliação.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Devido à grande quantidade de pedidos de e-SIC direcionados à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Secretaria, sugeriu-se a criação de um núcleo de servidores que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serão devidamente capacitados para a função, primando assim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pelo fortalecimento e preservação da qualidade no atendimento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dos pedidos. Após, o Secretário Municipal da Saúde deixou 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reunião. Em ato contínuo, o Secretário Executivo da CMAI indicou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os pontos que compõem o conteúdo da pauta, conforme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segue: II. Informes gerais. O Secretário Executivo da CMAI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atentou para maior agilidade na assinatura eletrônica da ata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das reuniões desta Comissão, via SEI. Ressaltou que as atas são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publicadas somente após assinatura dos membros participantes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de cada reunião da CMAI. Após, o Secretário Executivo da CMAI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apresentou para o Presidente da CMAI estudo comparativo do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processo de julgamento dos pedidos em última instância recursal,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contendo análise entre Governo Federal, Governo do Estado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de São Paulo e PMSP (05/2012 a 05/2017) bem como a quantidade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de recursos analisados por servidor em 2017. Deliberou-se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pela devolutiva dessa apresentação para a próxima reunião, assim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como a coleta de sugestões dos membros desta Comissão,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para posterior apresentação para a Administração Pública. Em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seguida, iniciou-se a análise dos recursos em pauta. III. Deliberação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sobre recursos em 3° Instância, sob os números de protocolo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e-SIC. Julgamento dos 9 (nove) novos recursos de 3ª instância,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conforme segue: 1) Pedido de acesso à informação sob 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n° 27.332 direcionado à SMS – Secretaria Municipal da Saúde.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Relatoria feita pelo Gabinete do Prefeito. Trata-se de pedido de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acesso à informação solicitando dados sobre a fila de espera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para realização de exames de janeiro a dezembro de 2017, na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CRS Leste, segmentado por STS. O órgão atendeu ao pedido indicando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um arquivo anexo, em formato PDF, em que é apresentada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a quantidade total de pessoas na fila de espera nos anos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de 2015, 2016 e 2017, por Setor Técnico de Saúde e com a data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de extração dos dados do Sistema Integrado de Gestão de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Atendimento – Saúde (SIGA-Saúde). O requerente interpôs recurso</w:t>
      </w:r>
    </w:p>
    <w:p w:rsidR="00EE6AE4" w:rsidRPr="00EE6AE4" w:rsidRDefault="00EE6AE4" w:rsidP="00EE6AE4">
      <w:pPr>
        <w:spacing w:after="0"/>
        <w:rPr>
          <w:rFonts w:ascii="Frutiger-Cn" w:hAnsi="Frutiger-Cn" w:cs="Frutiger-Cn"/>
          <w:color w:val="000000"/>
        </w:rPr>
      </w:pPr>
      <w:r w:rsidRPr="00EE6AE4">
        <w:rPr>
          <w:rFonts w:ascii="Frutiger-Cn" w:hAnsi="Frutiger-Cn" w:cs="Frutiger-Cn"/>
          <w:color w:val="000000"/>
        </w:rPr>
        <w:t>de 1ª instância sob o argumento de que o arquivo anexo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não respondia ao pedido inicial, uma vez que não se tratava de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dados brutos. O órgão deferiu o recurso, esclarecendo que a informação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prestada foi disponibilizada na mesma forma em que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se encontra arquivada no sistema, conforme prevê o Art. 16, §1,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do Decreto Municipal 53.623/12. O requerente interpôs recurso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de 2ª instância reiterando a alegação contida no recurso de 1ª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lastRenderedPageBreak/>
        <w:t>instância, esclarecendo a necessidade de acesso ao banco de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dados contido no sistema e não a dados processados e manipulados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pelo órgão. A demanda foi submetida à análise da CGM,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solicitou-se que o órgão fornecesse, em formato aberto, a base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de dados que deu origem ao compilado apresentado no arquivo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anexado. O órgão atendeu a solicitação disponibilizando os dados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em arquivo anexo, em formato .XLSX, utilizando o programa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Excel. O requerente interpôs recurso em 3ª instância sob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alegação de que a planilha anexa estava bloqueada, impossibilitando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o manuseio dos dados. A demanda foi submetida à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CMAI. Após relatoria do presente caso, a representante do Gabinete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do Prefeito observou que, o órgão, atendeu ao pedido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ainda na fase inicial, disponibilizando a informação conforme se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encontrava armazenada. Salientou ainda que, em recurso de 2ª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instância o órgão disponibilizou nova tabela contendo as informações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solicitadas. O representante da SECOM aduziu que 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tabela em formato .XLSX permite manuseio dos dados em outro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software livres, não havendo qualquer prejuízo na informação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disponibilizada ao requerente, mesmo não estando em software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livre. O representante da SF alegou compartilhar do mesmo entendimento,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uma vez que o órgão disponibilizou a informação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solicitada na forma por ele armazenada, ressaltando que o software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utilizado pelo órgão permite acesso através de outros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softwares livres, não havendo, como afirmado pelo requerente,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bloqueio na planilha inserida pelo órgão. O Presidente da CMAI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ressaltou a possibilidade do manuseio da tabela disponibilizada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pelo órgão com o uso de outros programas. O Secretário Executivo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da CMAI esclareceu que o órgão realizou o bloqueio da tabela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no programa Excel, a fim de evitar alteração de dados, mas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todos os dados podem ser facilmente extraídos da tabela disponibilizada,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o que não impede a análise de seu conteúdo através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de outros programas abertos compatíveis para o reuso. Após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análise e discussão, os presentes deliberaram pelo INDEFERIMENTO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do recurso uma vez que o órgão atendeu ao pedido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disponibilizando a informação conforme armazenada pelo órgão,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em consonância com o disposto no artigo 16º, §1º do Decreto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53.623/2012 (art. 16. § 1º. A informação será disponibilizada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ao interessado da mesma forma que se encontrar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arquivada ou registrada no órgão ou entidade municipal, não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cabendo a estes últimos realizar qualquer trabalho de consolidação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ou tratamento de dados, tais como a elaboração de planilhas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ou banco de dados, bem como produzir informações 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pedido do interessado, não exigidas pela legislação municipal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anterior). 2) Pedido de acesso à informação sob o n° 27.399 direcionado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à AMLURB – Autoridade Municipal de Limpeza Urbana.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Relatoria feita pela Secretaria do Governo Municipal. Trata-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-se de pedido de acesso à informação solicitando informações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sobre a previsão de convocação dos aprovados no concurso da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AMLURB, realizado em 2016 e homologado em 25.06.2016,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processo nº 2012-0.093.315-6. Alegou o requerente que 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AMLURB necessita de funcionários, questionando quais os obstáculos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para a convocação dos aprovados no referido concurso.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Indagou, ainda, sobre a possibilidade de uma gestão do governo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descontinuar este certame. O órgão não apresentou resposta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no fluxo inicial do pedido de acesso à informação, ensejando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lastRenderedPageBreak/>
        <w:t>recurso de ofício para a 2ª instância. Instada a emitir parecer, 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CGM solicitou que o órgão disponibilizasse as informações solicitadas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pelo requerente. O órgão informou ao requerente que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não tem previsão para convocação dos aprovados no concurso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realizado em 2016. Acrescentou que um obstáculo para a movimentação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do concurso é a aprovação pela Secretaria de Fazenda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do orçamento da Autarquia para 2018, estando este ainda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em fase de definição devido à necessidade de cortes. O requerente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interpôs recurso em 3ª instância alegando ser incoerente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a justificativa de cortes no orçamento, uma vez que o concurso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já teria a previsão orçamentária no PPA do município e solicitou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documento tratando do assunto. Solicitou justificativa para 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corte orçamentário, uma vez que o concurso teria sido previsto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no PPA do município. Questionou o porquê da realização do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concurso e a existência de planejamento da Autarquia. A demanda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foi submetida à CMAI. Após relatoria do presente caso,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o representante da SF esclareceu que o Plano Plurianual (PPA) é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realizado a cada quatro anos, tratando-se de uma orientação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estratégica da gestão do município, tendo como objetivo dar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maior transparência à aplicação dos recursos. O ano atual é regido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pelo PPA de 2018-2021. O representante da SMG ressaltou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não se tratar apenas de novo PPA, mas de nova Lei de Diretrizes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Orçamentária do Município. O Presidente da CMAI observou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que o requerente inovou no recurso de terceira instância, extrapolando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o pedido inicial. A representante do Gabinete do Prefeito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acompanhou o entendimento, entendendo que o pedido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inicial foi atendido. Após análise e discussão, os presentes deliberaram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pelo INDEFERIMENTO do recurso, uma vez que o órgão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atendeu ao pedido inicial, inovando no pedido de 3ª instância.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3) Pedido de acesso à informação sob o n° 27408 direcionado à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SMADS – Secretaria Municipal de Assistência e Desenvolvimento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Social. Relatoria feita pela Secretaria Municipal de Direitos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Humanos e Cidadania. Trata-se de pedido solicitando informações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sobre a doação de carros pela Souza Cruz, onde se questionou: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i) se os vinte carros doados pela Souza Cruz estão sendo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utilizados; ii) quantos munícipes foram levados a entrevistas de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emprego; iii) quantos motoristas foram contratados; iv) quanto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se paga a cada motorista; v) quanto se gastou com combustível.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O pedido foi indeferido pelo órgão que alegou não serem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as informações de responsabilidade daquela pasta. O requerente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interpôs recurso em 1ª instância, ratificando a solicitação inicial.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highlight w:val="yellow"/>
        </w:rPr>
      </w:pPr>
      <w:r w:rsidRPr="00EE6AE4">
        <w:rPr>
          <w:rFonts w:ascii="Frutiger-Cn" w:hAnsi="Frutiger-Cn" w:cs="Frutiger-Cn"/>
        </w:rPr>
        <w:t xml:space="preserve">Em resposta, o órgão indicou a </w:t>
      </w:r>
      <w:r w:rsidRPr="00EE6AE4">
        <w:rPr>
          <w:rFonts w:ascii="Frutiger-Cn" w:hAnsi="Frutiger-Cn" w:cs="Frutiger-Cn"/>
          <w:highlight w:val="yellow"/>
        </w:rPr>
        <w:t>Secretaria Municipal de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  <w:highlight w:val="yellow"/>
        </w:rPr>
        <w:t>Trabalho e Empreendedorismo</w:t>
      </w:r>
      <w:r w:rsidRPr="00EE6AE4">
        <w:rPr>
          <w:rFonts w:ascii="Frutiger-Cn" w:hAnsi="Frutiger-Cn" w:cs="Frutiger-Cn"/>
        </w:rPr>
        <w:t xml:space="preserve"> como órgão competente. O requerente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interpôs recurso em sede de 2ª instância, alegando incongruência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na resposta apresentada pelo órgão, eis que aceitos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os encaminhamentos posteriores para a Secretaria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Municipal de Assistência e Desenvolvimento Social dos protocolos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sob os n. 27.453, 27.448 e 27.450, inicialmente direcionados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 xml:space="preserve">à </w:t>
      </w:r>
      <w:r w:rsidRPr="00EE6AE4">
        <w:rPr>
          <w:rFonts w:ascii="Frutiger-Cn" w:hAnsi="Frutiger-Cn" w:cs="Frutiger-Cn"/>
          <w:highlight w:val="yellow"/>
        </w:rPr>
        <w:t>Secretaria Municipal de Trabalho e Empreendedorismo</w:t>
      </w:r>
      <w:r w:rsidRPr="00EE6AE4">
        <w:rPr>
          <w:rFonts w:ascii="Frutiger-Cn" w:hAnsi="Frutiger-Cn" w:cs="Frutiger-Cn"/>
        </w:rPr>
        <w:t>.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Instada a emitir parecer, a CGM solicitou que o órgão esclarecesse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os cinco questionamentos apontados no pedido inicial,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vez que a competência para fornecer as informações solicitadas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é da SMADS. O órgão respondeu informando que até o momento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a doação concretizada pela empresa totaliza 06 (seis) veículos,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ainda em fase final de regularização junto aos órgãos competentes,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lastRenderedPageBreak/>
        <w:t>de modo que sua utilização só será iniciada após 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conclusão de todos os trâmites burocráticos necessários. O requerente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interpôs recurso em 3ª instância alegando que a COPI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descumpriu prazo para resposta ao recurso, incorrendo assim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em conduta ilícita. Alegou, ainda, que a COPI é incapacitada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para julgar recursos. Solicitou abertura de processo administrativo,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conforme artigo 71, do Decreto nº 53.623/2012. A demanda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foi submetida à CMAI. Após relatoria do presente caso, o representante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da SMDHC esclareceu que o artigo 70 do Decreto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nº 53.623/2012 caracteriza a conduta ilícita do agente público,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sendo necessário: (I) recusar, imotivadamente, a fornecer informação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requerida, retardar deliberadamente o seu fornecimento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ou fornecê-la intencionalmente de forma incorreta, incompleta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ou imprecisa; (II) utilizar indevidamente, subtrair, destruir, inutilizar,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desfigurar, alterar ou ocultar informação em razão do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exercício das atribuições de cargo, emprego ou função pública;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(III) agir com dolo ou má-fé na análise dos pedidos; (IV) divulgar,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permitir a divulgação, acessar ou permitir acesso indevido à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informação sigilosa ou informação pessoal; (V) impor sigilo à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informação para obter proveito pessoal ou de terceiro, ou para</w:t>
      </w:r>
    </w:p>
    <w:p w:rsidR="00EE6AE4" w:rsidRDefault="00EE6AE4" w:rsidP="00EE6AE4">
      <w:pPr>
        <w:spacing w:after="0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fins de ocultação de ato ilegal cometido por si ou por outrem;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(VI) ocultar da revisão de autoridade superior competente informação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sigilosa para beneficiar a si ou a outrem, ou em prejuízo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de terceiros; e (VII) destruir ou subtrair, por qualquer meio, documentos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concernentes a possíveis violações de direitos humanos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por parte de agentes do Estado. Ainda, alegou que o pedido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inicial foi atendido a contento, uma vez que o recurso de terceira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instância trata de uma denúncia, a qual deve ser oferecida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no canal competente. Após análise e discussão, os presentes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deliberaram pelo INDEFERIMENTO do recurso, uma vez que 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órgão atendeu ao pedido inicial, sendo o conteúdo do recurso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fora de escopo por se tratar de denúncia e não pedido de acesso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à informação. Ademais, os membros desta Comissão informaram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que a denúncia poderá ser apresentada nos canais adequados,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das seguintes maneiras: (i) pelo telefone 156 (opção 3),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das 7h às 19h, de segunda à sexta-feira; (ii) pessoalmente, das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10h às 16h, de segunda à sexta-feira, na Rua Líbero Badaró,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293, 19º andar – Centro – São Paulo/SP – CEP 01009-907; (iii)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por correspondência, enviada para: Rua Líbero Badaró, 293, 19º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andar – Centro – São Paulo/SP – CEP 01009-907; (iv) por meio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do preenchimento e envio do formulário eletrônico de denúncia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disponível no link: https://sp156.prefeitura.sp.gov.br/portal/?tem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a=1353&amp;assunto=1354&amp;servico=2632&amp;ouvidoria. 4) Pedido de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acesso à informação sob o n° 27.410 direcionado à SMS – Secretaria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Municipal da Saúde. Relatoria feita pela Secretaria Municipal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da Fazenda. Trata-se de pedido de acesso à informação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solicitando relatório de utilização de veículo oficial ou a serviço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das sete Supervisões Técnicas de Saúde (STS) da Coordenadoria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Regional de Saúde (CRS) – Leste, e dos gabinetes das Coordenadorias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Regionais de Saúde e da Secretaria Municipal de Saúde,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relativo ao dia 15 de dezembro de 2017. Sendo solicitado,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ainda, que o relatório contenha: o nome do solicitante, destino,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hora de saída, hora de chegada, cálculo de quilometragem e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combustível utilizados para o percurso. O órgão atendeu ao pedido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indicando dois arquivos anexos, em formato PDF, os quais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lastRenderedPageBreak/>
        <w:t>continham: 1) lista com o roteiro de utilização dos veículos que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prestaram serviços nas setes Supervisões Técnicas de Saúde da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Coordenadoria Regional de Saúde – Leste ao longo do dia 15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de dezembro de 2017. Os arquivos indicaram a Supervisão Técnica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de Saúde, nome do motorista cooperado, nome do solicitante,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destino, hora saída e hora chegada; 2) recibos de viagem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de veículos preenchidos pelos respectivos motoristas, com indicação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do destino, horímetro, partida, chegada e visto do usuário.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O requerente interpôs recurso de 1ª Instância sob o argumento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de que o segundo arquivo estava confuso e não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identificava o órgão solicitante. O órgão deferiu o recurso e indicou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dois arquivos anexos, em formato PDF, em complemento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ao segundo arquivo anteriormente encaminhado. Os dois arquivos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anexados no recurso apresentam a Ordem de Serviço Externo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junto aos recibos de viagem de veículos preenchidos pelos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motoristas. Nas Ordens de Serviço Externo contêm o nome do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funcionário que solicitou o veículo, o Registro Funcional, a divisão,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a unidade de trabalho, a quilometragem percorrida, as horas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de trabalho e assinatura do motorista. Foi interposto recurso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de 2ª Instância alegando que as informações prestadas estão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em desconformidade com o solicitado inicialmente. A demanda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foi submetida à análise da Controladoria Geral do Município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(CGM) que indeferiu o recurso em 2ª Instância, uma vez que 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órgão atendeu de forma completa ao pedido de acesso à informação,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disponibilizando documentos que permitem ao requerente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encontrar as informações solicitadas. O requerente interpôs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recurso de 3ª instância alegando que não houve indicação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do órgão solicitante do serviço de transporte. Ademais, o requerente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alegou que a COPI não analisou os arquivos anexos ao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pedido, além de não conhecer os fluxos, favorecendo o descumprimento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da LAI. Informou ainda que a COPI ao não atender 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prazo de resposta, incorreu em conduta ilícita, sendo assim incapaz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de julgar o recurso. A demanda foi submetida à CMAI.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Após relatoria do presente caso, o representante da SF relatou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que todas as informações solicitadas estão respondidas através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dos anexos inseridos pelo órgão. Após análise e discussão, os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presentes deliberaram pelo INDEFERIMENTO do recurso, uma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vez que o órgão atendeu ao pedido inicial, sendo o conteúdo do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recurso de 3ª instância fora de escopo por se tratar de denúncia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e não pedido de acesso à informação. Ademais, os membros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desta Comissão informaram que a denúncia poderá ser apresentada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nos canais adequados, das seguintes maneiras: (i) pelo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telefone 156 (opção 3), das 7h às 19h, de segunda à sexta-feira;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(ii) pessoalmente, das 10h às 16h, de segunda à sexta-feira, na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Rua Líbero Badaró, 293, 19º andar – Centro – São Paulo/SP –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CEP 01009-907; (iii) por correspondência, enviada para: Rua Líbero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Badaró, 293, 19º andar – Centro – São Paulo/SP – CEP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01009-907; (iv) por meio do preenchimento e envio do formulário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eletrônico de denúncia disponível no link: https://sp156.prefeitura.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sp.gov.br/portal/?tema=1353&amp;assunto=1354&amp;servico=2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632&amp;ouvidoria. 5) Pedido de acesso à informação sob o n°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27.476 direcionado à AMLURB - Autoridade Municipal de Limpeza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Urbana. Relatoria feita pela Secretaria Municipal de Gestão.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Trata-se de pedido de acesso à informação em que o requerente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indaga qual o motivo de somente o consumidor final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lastRenderedPageBreak/>
        <w:t>paulistano estar sendo compelido a pagar pelas sacolas de supermercados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e separar seus resíduos, se não existe coleta seletiva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por todas as ruas da cidade e se a responsabilidade para 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destinação dos resíduos é compartilhada com os setores empresariais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e o poder público. O órgão não respondeu ao pedido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inicial, ensejando recurso de ofício à 2ª instância. Instada 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emitir parecer, a CGM solicitou que o órgão esclarecesse a obrigatoriedade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de pagamento de sacolas e separação de resíduos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pelos munícipes. Entendeu-se que, no trecho em que o requerente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realiza apenas críticas à falta de programas ambientais,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não havia obrigatoriedade de resposta por não ser o canal adequado.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O órgão informou a publicação da Resolução 109/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AMLURB/2017, que reestrutura o Programa Socioambiental de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Coleta Seletiva de Resíduos Recicláveis. Quanto à responsabilidade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compartilhada, informou que o consumidor final paulistano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não é compelido a pagar pelas sacolas de mercado, tendo 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lei o objetivo de estimular que o uso de sacolas ou caixas reutilizáveis.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Os estabelecimentos comerciais, por sua vez, devem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utilizar sacolas fabricadas com composição mínima de 51%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(cinquenta e um por cento) de matéria prima proveniente de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tecnologias sustentáveis como: bioplásticos, de fontes renováveis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ou naturais de recomposição e reciclável. Informou ainda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legislações relacionadas à matéria. O requerente interpôs recurso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em 3ª instância, discordando da resposta do órgão. Afirmou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que o consumidor paulistano é o único do Brasil que é obrigado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a pagar pelas sacolinhas de supermercados. Questionou o valor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pago pelas redes de supermercado à Prefeitura entre os anos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de 2015 e 2018, desde que a Prefeitura passou a operar a logística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reversa das sacolas de supermercados. Indagou, ainda, sobre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a fiscalização dessas atividades. Por fim, citou o § 7º, do artigo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33, da Lei 12.305. A demanda foi submetida à CMAI. Após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relatoria do presente caso, a representante do Gabinete do Prefeito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considerou que o órgão atendeu ao pedido de acesso à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informação, fornecendo todos dados solicitados no pedido inicial.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Ademais, observou que o requerente inovou no recurso de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3ª instância. Após análise e discussão, os presentes deliberaram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pelo INDEFERIMENTO do recurso, uma vez que o órgão atendeu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ao pedido inicial, tendo o requerente inovado no recurso de 3ª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instância. 6) Pedido de acesso à informação sob o n° 27.573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direcionado à CGM - Controladoria Geral do Município. Relatoria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feita pela Controladoria Geral do Município. Trata-se de pedido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de acesso à informação solicitando cópia das 140 Ordens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de Serviço geradas pela Auditoria Geral do Município, no ano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de 2017. O órgão indeferiu o pedido informando que as Ordens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de Serviços produzidas pela Auditoria Geral do Município são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documentos sigilosos, não sendo divulgados nem para a própria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Unidade Auditada por descreverem procedimentos fiscalizatórios,</w:t>
      </w:r>
    </w:p>
    <w:p w:rsidR="00EE6AE4" w:rsidRDefault="00EE6AE4" w:rsidP="00EE6AE4">
      <w:pPr>
        <w:spacing w:after="0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imprescindíveis à segurança da sociedade ou do Estado,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conterem dados sobre pessoas físicas e empresas, advindos de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denúncias recebidas da Ouvidoria, de pedidos do MPE/SP e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pesquisas realizadas em sistemas corporativos da PMSP e de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outros órgãos. Fundamentou a negativa com base no art. 23,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inciso VIII, VIII da Lei Federal nº 12.527/2011, por considerar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que sua divulgação pode comprometer atividades de inteligência,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investigações ou fiscalizações em andamento, relacionadas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lastRenderedPageBreak/>
        <w:t>com a prevenção ou repressão de infrações. O requerente interpôs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recurso de 1ª instância solicitando a ocultação dos dados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pessoais e a disponibilização dos documentos solicitados no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pedido inicial. O órgão indeferiu novamente o recurso esclarecendo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que as Ordens de Serviço constituem documentos preparatórios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internos da Auditoria Geral do Município, considerados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sigilosos até a edição do ato ou decisão final, de acordo com 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que dispõe o Art. 23, do Decreto Municipal nº 53.623/12. Ademais,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o órgão informou link de acesso para consulta de todos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os relatórios de Auditoria já concluídos. O requerente interpôs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recurso de 2ª instância solicitando a indicação de legislação que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classifica como sigilosa as informações requeridas. Instada 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emitir parecer a CGM, indeferiu o recurso do requerente, pois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considerou que o órgão atendeu ao pedido inicial de acesso à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informação, vez que esclareceu ao requerente o caráter sigiloso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das Ordens de Serviço geradas pela Auditoria em 2017, tendo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em vista configurarem documentos preparatórios e conterem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informações pessoais, sendo privadas do acesso público até 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edição do ato decisório respectivo sob pena de comprometimento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das atividades de fiscalização e investigação em andamento,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relacionadas com a prevenção ou repressão de infrações,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conforme legislação vigente (Arts. 5º, inciso VII, alínea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“b”, 6º, incisos IV, V, XII e 23º, do Decreto Municipal nº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53.623/12 e Art. 7º, §3º, da Lei Federal nº 12.527/2011). Ademais,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foi concedido acesso aos resultados de auditorias, em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cumprimento ao que determinam os diplomas acima citados. 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requerente interpôs recurso em 3ª instância alegando que 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COPI não informou o grau de sigilo do documento, além de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descumprir o prazo estabelecido no decreto municipal que regulamenta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a LAI, incorrendo em conduta ilícita. Após a relatoria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do presente caso, o representante da SMG indagou sobre o órgão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relator ser o mesmo órgão demandado no pedido de acesso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à informação. O Secretário Executivo da CMAI esclareceu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que a relatoria somente descreve o conteúdo do pedido e seu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histórico, sendo o julgamento realizado pelo Colegiado, de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modo que não haveria prejuízos ao julgado. Ressaltou que 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ordem da relatoria entre os órgãos foi estabelecida na 23ª Reunião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da CMAI, ocorrida em fevereiro de 2017, que é seguida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conforme a ordem de protocolo registrada no sistema para a 3ª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instância. Diante dessa informação, os membros da CMAI solicitaram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inclusão dessa demanda como ponto de pauta para melhor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análise na próxima reunião. Quanto ao mérito do recurso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de 3ª instância, observou o representante da SMG que o órgão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atendeu ao pedido ao informar a impossibilidade de fornecer os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documentos solicitados pelo requerente. Ademais, reconheceu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que o órgão indicou link com os relatórios de auditoria concluídos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e concluiu que o e-SIC não seria o canal correto para a denúncia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veiculada pelo requerente no recurso de 3ª instância.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Após análise e discussão, os presentes deliberaram pelo INDEFERIMENTO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do recurso, considerando que o órgão atendeu ao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pedido inicial, sendo o conteúdo do recurso de 3ª instância fora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de escopo por se tratar de denúncia e não pedido de acesso à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informação. Ademais, os membros desta Comissão informaram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que a denúncia poderá ser apresentada nos canais adequados,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das seguintes maneiras: (i) pelo telefone 156 (opção 3), das 7h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lastRenderedPageBreak/>
        <w:t>às 19h, de segunda à sexta-feira; (ii) pessoalmente, das 10h às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16h, de segunda à sexta-feira, na Rua Líbero Badaró, 293, 19º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andar – Centro – São Paulo/SP – CEP 01009-907; (iii) por correspondência,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enviada para: Rua Líbero Badaró, 293, 19º andar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– Centro – São Paulo/SP – CEP 01009-907; (iv) por meio do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preenchimento e envio do formulário eletrônico de denúncia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disponível no link: https://sp156.prefeitura.sp.gov.br/portal/?tem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a=1353&amp;assunto=1354&amp;servico=2632&amp;ouvidoria. 7) Pedido de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acesso à informação sob o n° 27.610 direcionado à AMLURB -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Autoridade Municipal de Limpeza Urbana. Relatoria feita pela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Secretaria Especial de Comunicação. Trata-se de pedido de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acesso à informação solicitando informações sobre as atividades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desempenhadas pelo Núcleo Gestor de Logística Reversa,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desde a data de sua criação (17 de agosto de 2017) até os dias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atuais. Solicitou, ainda, os valores dispendidos com as atividades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do referido Núcleo. O órgão atendeu ao pedido inicial informando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que a constituição do Núcleo Gestor de Logística Reversa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(Portaria 023/AMLURB-PRE/2017) decorre da Política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Nacional de Resíduos Sólidos (Lei 12.522/2010) e do Plano de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Gerenciamento de Resíduos Sólidos da cidade de São Paulo -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PGIRS (publicado em 2012 e revisto em 2014), que tem como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uma de suas diretrizes a constituição desse núcleo. Informou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também que o objetivo do núcleo seria estudar e discutir todos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os temas referentes à logística reversa no âmbito da AMLURB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para o retorno de resíduos à cadeia produtiva de origem. Acrescentou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que, desde a sua constituição, o núcleo já iniciou os estudos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referentes às cadeias de pneus, pilhas e baterias, lâmpadas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e eletroeletrônicos. Esclareceu não haver valores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despendidos pelo núcleo. O requerente interpôs recurso em 1ª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Instância indagando em que consistiram os estudos (ao longo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desses últimos 6 meses) e qual a previsão para implantação do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sistema de logística reversa de embalagens. O órgão não apresentou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resposta ensejando Recurso de Ofício à 2ª Instância. 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CGM em seu parecer reconheceu que o munícipe não especificou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de forma satisfatória a informação desejada em seu pedido,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porém determinou que o órgão respondesse ao pedido, haja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vista não ter se manifestado em recurso de 1ª instância. Em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atendimento à 2ª instância, o órgão apenas replicou a resposta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inicial inserida no sistema. O requerente interpôs recurso de 3ª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Instância reiterando os questionamentos formulados no recurso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de 1ª Instância. Após a relatoria do presente caso, os representantes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da CGM e da SF observaram que o órgão não atendeu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ao pedido inicial, ressaltando ainda que o requerente inovou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em seus recursos, trazendo novos questionamentos. Os presentes,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assim, deliberaram pelo DEFERIMENTO PARCIAL do recurso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para que seja encaminhado ofício à Autoridade Municipal de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Limpeza Urbana, a fim de que o órgão esclareça de forma mais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específica em que consistiram os estudos do Núcleo Gestor de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Logística Reversa ao longo dos últimos seis meses, uma vez que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o órgão apenas indicou os temas de estudo, não atendendo integralmente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ao pedido inicial. Isto porque, considerou-se que 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requerente inovou ao requerer no recurso de 1ª e 3ª instância 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previsão para implementação no município do sistema de logística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reversa de embalagens e de todos os demais setores, de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modo que não há obrigatoriedade do órgão em responder 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lastRenderedPageBreak/>
        <w:t>este questionamento. 8) Pedido de acesso à informação sob 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n° 27.729 direcionado à SMSU - Secretaria Municipal de Segurança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Urbana. Relatoria feita pela Secretaria Municipal de Justiça.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Trata-se de pedido de acesso à informação solicitando as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áreas vulneráveis de alagamentos e deslizamentos no município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de São Paulo, nos anos de 2010 a 2017, especificado por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ano, com indicação da quantidade de pontos e sua localização.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O órgão atendeu ao pedido informando que a Defesa Civil mapeou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407 áreas com risco de alagamentos e deslizamentos na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Cidade de São Paulo. A maioria está na região sul com 176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pontos, seguido da zona norte com 107 registros, zona leste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com 100 e, por último, zona oeste com 24 áreas de riscos mapeadas.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Esclareceu que o último mapeamento havia sido finalizado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em 2010, sendo retomado em 2016 e tendo continuidade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em 2017 até o momento atual, possuindo constante atualização.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O requerente interpôs recurso em 1ª Instância solicitando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ao órgão que apontasse as áreas referidas. O órgão não ofereceu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resposta, ensejando Recurso de Ofício para 2ª Instância. A</w:t>
      </w:r>
    </w:p>
    <w:p w:rsidR="00EE6AE4" w:rsidRPr="00EE6AE4" w:rsidRDefault="00EE6AE4" w:rsidP="00EE6AE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CGM, em seu parecer, solicitou que o órgão disponibilizasse as</w:t>
      </w:r>
    </w:p>
    <w:p w:rsidR="00EE6AE4" w:rsidRDefault="00EE6AE4" w:rsidP="00EE6AE4">
      <w:pPr>
        <w:spacing w:after="0"/>
        <w:rPr>
          <w:rFonts w:ascii="Frutiger-Cn" w:hAnsi="Frutiger-Cn" w:cs="Frutiger-Cn"/>
        </w:rPr>
      </w:pPr>
      <w:r w:rsidRPr="00EE6AE4">
        <w:rPr>
          <w:rFonts w:ascii="Frutiger-Cn" w:hAnsi="Frutiger-Cn" w:cs="Frutiger-Cn"/>
        </w:rPr>
        <w:t>informações requeridas. O órgão, em resposta, informou que as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>407 áreas estão distribuídas no território de 27 Prefeituras Re-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>gionais, sendo elas: Aricanduva/Formosa; Butantã; Campo Lim-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>po; Capela do Socorro; Casa Verde/Cachoeirinha; Cidade Ade-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>mar; Cidade Tiradentes; Ermelino Matarazzo; Freguesia do Ó/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>Brasilândia; Guaianases; Ipiranga; Itaim Paulista; Itaquera; Jaba-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>quara; Jaçanã/Tremembé; Lapa; M’Boi Mirim; Parelheiros; Pe-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 xml:space="preserve">nha; Perus; Pirituba/Jaraguá; Santana/Tucuruvi; São Mateus; São 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 xml:space="preserve">Miguel Paulista; Sapopemba; Vila Maria/Vila Guilherme e Vila 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>Prudente. Acrescentou, ainda, que foram concluídos os mapea-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>mentos das seguintes PRs: Capela do Socorro; Cidade Tiraden-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>tes; Ipiranga; Jabaquara; Parelheiros; Pirituba/Jaraguá e São Mi-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 xml:space="preserve">guel Paulista, mantendo-se o monitoramento preventivo das 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 xml:space="preserve">demais áreas de risco, até a conclusão total da atualização. O 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 xml:space="preserve">requerente interpôs recurso de 3ª Instância reiterando o pedido 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 xml:space="preserve">inicial, ressaltando que solicitou estudos do ano de 2010 até 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>2017 com a indicação dos pontos de alagamento e sua localiza-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 xml:space="preserve">ção. A demanda foi submetida à CMAI. Após a relatoria pelo 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>representante da SMJ, este considerou que o órgão não aten-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>deu integralmente ao pedido de acesso à informação. Os repre-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 xml:space="preserve">sentantes da CGM e da SECOM ressaltaram que o órgão não 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>informou a localização das áreas mapeadas. Após análise e dis-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>cussão, os presentes deliberaram pelo DEFERIMENTO do recur-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 xml:space="preserve">so para que seja encaminhado ofício à Secretaria Municipal de 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>Segurança Urbana, a fim de que forneça os dados de localiza-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>ção dos pontos de alagamento e deslizamentos relativos ao pe-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>ríodo indicado pelo requerente. 9) Pedido de acesso à informa-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 xml:space="preserve">ção sob o n° 27.852 direcionado à SMT - Secretaria Municipal 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 xml:space="preserve">de Mobilidade e Transportes. Relatoria feita pelo Gabinete do 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>Prefeito. Trata-se de pedido de acesso à informação, em comple-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 xml:space="preserve">mento ao protocolo e-SIC anterior de n. 27236, solicitando que 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 xml:space="preserve">fosse informada a deficiência dos passageiros transportados, 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>segmentado por concessionária, no período de janeiro a dezem-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 xml:space="preserve">bro de 2017. O órgão atendeu ao pedido informando que não 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 xml:space="preserve">há classificação por tipo de deficiência dos usuários do Bilhete 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 xml:space="preserve">Único Especial ao registrar a passagem. Em adição, informou a 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lastRenderedPageBreak/>
        <w:t>Portaria Intersecretarial SMT/SMS nº001/11 em que há a defini-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 xml:space="preserve">ção de deficiência, de acordo com as limitações compatíveis. O 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 xml:space="preserve">requerente interpôs recurso de 1ª Instância questionando a 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>possibilidade de cruzamento dos dados de cadastro dos usuá-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>rios do Bilhete Único Especial, em que consta o tipo de deficiên-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>cia, com os dados de utilização do Bilhete Único Especial. O ór-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 xml:space="preserve">gão indeferiu o recurso interposto com base no artigo 16, Inciso 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>III do Decreto Municipal, 53.623/12. Sustentou que as informa-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>ções já consolidadas e disponíveis foram fornecidas. O reque-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>rente interpôs recurso de 2ª Instância reiterando o pedido ini-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 xml:space="preserve">cial. A CGM, em seu parecer indeferiu o recurso considerando 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 xml:space="preserve">que o órgão atendeu ao pedido inicial de acesso à informação, 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 xml:space="preserve">vez que informou ao solicitante que não possui compiladas as 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 xml:space="preserve">informações sobre a utilização do Bilhete Único Especial por 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>deficiência do usuário e que a realização desse cruzamento exi-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 xml:space="preserve">giria trabalhos adicionais de análise, consolidação de dados. O 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 xml:space="preserve">requerente interpôs recurso em 3ª Instância alegando que a 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>COPI não conhece os fluxos e, muito menos, os serviços presta-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 xml:space="preserve">dos pelas Secretarias, favorecendo o descumprimento da LAI. 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>Acusou a perda de prazo por parte de COPI que haveria incorri-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 xml:space="preserve">do em conduta ilícita. A demanda foi submetida à CMAI. Após 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>análise e discussão, os presentes deliberaram pelo INDEFERI-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>MENTO do recurso, considerando que o órgão atendeu ao pedi-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 xml:space="preserve">do inicial, sendo o conteúdo do recurso de 3ª instância fora de 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>escopo por se tratar de denúncia e não pedido de acesso à in-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 xml:space="preserve">formação. Ademais, os membros desta Comissão informaram 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 xml:space="preserve">que a denúncia poderá ser apresentada nos canais adequados, 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 xml:space="preserve">das seguintes maneiras: (i) pelo telefone 156 (opção 3), das 7h 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 xml:space="preserve">às 19h, de segunda à sexta-feira; (ii) pessoalmente, das 10h às 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 xml:space="preserve">16h, de segunda à sexta-feira, na Rua Líbero Badaró, 293, 19º 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>andar – Centro – São Paulo/SP – CEP 01009-907; (iii) por cor-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 xml:space="preserve">respondência, enviada para: Rua Líbero Badaró, 293, 19º andar 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 xml:space="preserve">– Centro – São Paulo/SP – CEP 01009-907; (iv) por meio do 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 xml:space="preserve">preenchimento e envio do formulário eletrônico de denúncia 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>disponível no link: https://sp156.prefeitura.sp.gov.br/portal/?tem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>a=1353&amp;assunto=1354&amp;servico=2632&amp;ouvidoria. IV. Encerra-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>mento. O Secretário Executivo da CMAI ressaltou que esta Co-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 xml:space="preserve">missão se reunirá para a 36ª Reunião Ordinária da CMAI no dia 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>14 de março de 2018, às 14h30min, em local a confirmar, con-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 xml:space="preserve">forme calendário já aprovado pela CMAI. Nada mais havendo 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 xml:space="preserve">para tratar, o Secretário Executivo da CMAI declarou encerrada 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 xml:space="preserve">a reunião às 16 horas e 37 minutos (16h37), da qual se lavrou a 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 xml:space="preserve">presente ata, lida e aprovada, que será assinada por todos via 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>SEI.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 xml:space="preserve">Guilherme Rodrigues Monteiro Mendes - Presidente da 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 xml:space="preserve">CMAI - Controlador Geral - Controladoria Geral do Município 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>(CGM)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 xml:space="preserve">Fábio Souza dos Santos - Secretário - Secretaria Especial de 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>Comunicação (SECOM)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>Eduardo Barbin Barbosa - Secretário Adjunto - Secretaria Mu-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 xml:space="preserve">nicipal de Direitos Humanos e Cidadania (SMDHC)- Vladimir 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 xml:space="preserve">de Souza Alves - Secretário Adjunto - Secretaria Municipal de 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>Justiça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 xml:space="preserve">Fabio Teizo Belo da Silva - Secretário Adjunto - Secretaria 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>Municipal de Gestão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lastRenderedPageBreak/>
        <w:t>Arlinton Nakazawa - Chefe de Gabinete - Secretaria Muni-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>cipal da Fazenda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 xml:space="preserve">Carolina Boaventura - Assessora Técnica - Gabinete do 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>Prefeito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 xml:space="preserve">Renato Corte Lopes - Secretário Executivo - Coordenador </w:t>
      </w:r>
    </w:p>
    <w:p w:rsidR="00EE6AE4" w:rsidRPr="00EE6AE4" w:rsidRDefault="00EE6AE4" w:rsidP="00EE6AE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 xml:space="preserve">de Promoção da integridade - Controladoria Geral do Município </w:t>
      </w:r>
    </w:p>
    <w:p w:rsidR="00EE6AE4" w:rsidRDefault="00EE6AE4" w:rsidP="00425FAC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E6AE4">
        <w:rPr>
          <w:rFonts w:ascii="Arial" w:eastAsia="Times New Roman" w:hAnsi="Arial" w:cs="Arial"/>
          <w:lang w:eastAsia="pt-BR"/>
        </w:rPr>
        <w:t>(CGM)</w:t>
      </w:r>
      <w:r w:rsidR="00425FAC">
        <w:rPr>
          <w:rFonts w:ascii="Arial" w:eastAsia="Times New Roman" w:hAnsi="Arial" w:cs="Arial"/>
          <w:lang w:eastAsia="pt-BR"/>
        </w:rPr>
        <w:t>.</w:t>
      </w:r>
    </w:p>
    <w:p w:rsidR="00425FAC" w:rsidRDefault="00425FAC" w:rsidP="00425FAC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</w:rPr>
      </w:pPr>
      <w:r w:rsidRPr="00425FAC">
        <w:rPr>
          <w:rFonts w:ascii="Frutiger-BlackCn" w:hAnsi="Frutiger-BlackCn" w:cs="Frutiger-BlackCn"/>
          <w:b/>
          <w:bCs/>
          <w:color w:val="000000"/>
        </w:rPr>
        <w:t>INOVAÇÃO E TECNOLOGIA</w:t>
      </w:r>
    </w:p>
    <w:p w:rsidR="00425FAC" w:rsidRPr="00425FAC" w:rsidRDefault="00425FAC" w:rsidP="00425FAC">
      <w:pPr>
        <w:spacing w:after="0" w:line="240" w:lineRule="auto"/>
        <w:rPr>
          <w:rFonts w:ascii="Frutiger-BoldCn" w:hAnsi="Frutiger-BoldCn" w:cs="Frutiger-BoldCn"/>
          <w:b/>
          <w:bCs/>
          <w:color w:val="727272"/>
        </w:rPr>
      </w:pPr>
      <w:r w:rsidRPr="00425FAC">
        <w:rPr>
          <w:rFonts w:ascii="Frutiger-BoldCn" w:hAnsi="Frutiger-BoldCn" w:cs="Frutiger-BoldCn"/>
          <w:b/>
          <w:bCs/>
          <w:color w:val="727272"/>
        </w:rPr>
        <w:t>GABINETE DO SECRETÁRIO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425FAC">
        <w:rPr>
          <w:rFonts w:ascii="Frutiger-BoldCn" w:hAnsi="Frutiger-BoldCn" w:cs="Frutiger-BoldCn"/>
          <w:b/>
          <w:bCs/>
        </w:rPr>
        <w:t>PORTARIA CONJUNTA SECRETARIA MUNICIPAL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425FAC">
        <w:rPr>
          <w:rFonts w:ascii="Frutiger-BoldCn" w:hAnsi="Frutiger-BoldCn" w:cs="Frutiger-BoldCn"/>
          <w:b/>
          <w:bCs/>
        </w:rPr>
        <w:t>DE INOVAÇÃO E TECNOLOGIA – SMIT; SECRETARIA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425FAC">
        <w:rPr>
          <w:rFonts w:ascii="Frutiger-BoldCn" w:hAnsi="Frutiger-BoldCn" w:cs="Frutiger-BoldCn"/>
          <w:b/>
          <w:bCs/>
        </w:rPr>
        <w:t>MUNICIPAL DO TRABALHO E EMPREENDEDORISMO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425FAC">
        <w:rPr>
          <w:rFonts w:ascii="Frutiger-BoldCn" w:hAnsi="Frutiger-BoldCn" w:cs="Frutiger-BoldCn"/>
          <w:b/>
          <w:bCs/>
        </w:rPr>
        <w:t>– SMTE Nº 005 DE 19 DE FEVEREIRO DE 2018.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ESTABELECE COOPERAÇÃO TÉCNICA E ADMINISTRATIVA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PARA IMPLANTAR E OPERAR UMA UNIDADE PILOTO DO PROGRAMA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DESCOMPLICA – SP, NA PREFEITURA REGIONAL DE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SÃO MIGUEL PAULISTA.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425FAC">
        <w:rPr>
          <w:rFonts w:ascii="Frutiger-BoldCn" w:hAnsi="Frutiger-BoldCn" w:cs="Frutiger-BoldCn"/>
          <w:b/>
          <w:bCs/>
        </w:rPr>
        <w:t>DANIEL ANNENBERG, Secretário Municipal de Inovação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425FAC">
        <w:rPr>
          <w:rFonts w:ascii="Frutiger-BoldCn" w:hAnsi="Frutiger-BoldCn" w:cs="Frutiger-BoldCn"/>
          <w:b/>
          <w:bCs/>
        </w:rPr>
        <w:t>e Tecnologia – SMIT e ALINE CARDOSO, Secretária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BoldCn" w:hAnsi="Frutiger-BoldCn" w:cs="Frutiger-BoldCn"/>
          <w:b/>
          <w:bCs/>
        </w:rPr>
        <w:t>Municipal do Trabalho e Empreendedorismo – SMTE</w:t>
      </w:r>
      <w:r w:rsidRPr="00425FAC">
        <w:rPr>
          <w:rFonts w:ascii="Frutiger-Cn" w:hAnsi="Frutiger-Cn" w:cs="Frutiger-Cn"/>
        </w:rPr>
        <w:t>, no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exercício de suas atribuições legais e regulamentares: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BoldCn" w:hAnsi="Frutiger-BoldCn" w:cs="Frutiger-BoldCn"/>
          <w:b/>
          <w:bCs/>
        </w:rPr>
        <w:t xml:space="preserve">CONSIDERANDO </w:t>
      </w:r>
      <w:r w:rsidRPr="00425FAC">
        <w:rPr>
          <w:rFonts w:ascii="Frutiger-Cn" w:hAnsi="Frutiger-Cn" w:cs="Frutiger-Cn"/>
        </w:rPr>
        <w:t>que o Projeto 56, Meta 41 do Programa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de Metas 2017-2020 da Prefeitura São Paulo prevê a implantação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de unidades de atendimento presencial com “Padrão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Poupatempo” em todas as regionais;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BoldCn" w:hAnsi="Frutiger-BoldCn" w:cs="Frutiger-BoldCn"/>
          <w:b/>
          <w:bCs/>
        </w:rPr>
        <w:t xml:space="preserve">CONSIDERANDO </w:t>
      </w:r>
      <w:r w:rsidRPr="00425FAC">
        <w:rPr>
          <w:rFonts w:ascii="Frutiger-Cn" w:hAnsi="Frutiger-Cn" w:cs="Frutiger-Cn"/>
        </w:rPr>
        <w:t>o disposto nos artigos 9º e 30 do Decreto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Municipal nº 58.017, de 5 de dezembro de 2017, que inclui</w:t>
      </w:r>
    </w:p>
    <w:p w:rsidR="00425FAC" w:rsidRPr="00425FAC" w:rsidRDefault="00425FAC" w:rsidP="00425FAC">
      <w:pPr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a unidade piloto do Descomplica em São Miguel Paulista como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Divisão da Coordenadoria de Atendimento Presencial – CAP da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Secretaria Municipal de Inovação e Tecnologia e define suas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425FAC">
        <w:rPr>
          <w:rFonts w:ascii="Frutiger-Cn" w:hAnsi="Frutiger-Cn" w:cs="Frutiger-Cn"/>
        </w:rPr>
        <w:t xml:space="preserve">atribuições; </w:t>
      </w:r>
      <w:r w:rsidRPr="00425FAC">
        <w:rPr>
          <w:rFonts w:ascii="Frutiger-BoldCn" w:hAnsi="Frutiger-BoldCn" w:cs="Frutiger-BoldCn"/>
          <w:b/>
          <w:bCs/>
        </w:rPr>
        <w:t>RESOLVEM: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Art. 1º - Fica estabelecida a cooperação técnica e administrativa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entre a Secretaria Municipal de Inovação e Tecnologia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(SMIT) e Secretaria Municipal de Trabalho e Empreendedorismo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(SMTE) para a execução de ações de planejamento, implantação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e operação da unidade piloto do Descomplica SP, na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Prefeitura Regional de São Miguel Paulista.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Art.2º - Compete à Secretaria Municipal de Trabalho e Empreendedorismo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– SMTE: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I – Ofertar, no âmbito do projeto piloto do Descomplica SP,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os serviços constantes do Anexo I desta Portaria , comunicando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eventuais alterações;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II – Disponibilizar pessoal capacitado, conforme Anexo II,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para a execução dos serviços ofertados, garantindo a imediata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substituição em caso de férias, licenças médicas e outros afastamentos.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III – Garantir meios para que a equipe da SMIT possa desenvolver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suas atividades, em consonância com o planejamento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e cronograma pré-definidos;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IV – Fazer, quando necessário, propostas para ajustes na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concepção e execução dos projetos os elaborados pela SMIT;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V – Estabelecer parcerias e interface com órgãos provedores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dos serviços que constam no Anexo I;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VI – Disponibilizar o serviço de malote para os serviços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apresentados no Anexo I;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lastRenderedPageBreak/>
        <w:t>VII - Adquirir e manter estoques de material de escritório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suficientes para a prestação contínua dos serviços ofertados.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Art.3º - Compete à Secretaria Municipal de Inovação e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Tecnologia – SMIT: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I - Elaborar diagnóstico de atendimento dos serviços atualmente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prestados pela SMTE;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II - Conceber e planejar, com o dimensionamento dos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recursos materiais e humanos necessários, os serviços a serem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disponibilizados no Descomplica em São Miguel Paulista, na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modalidade presencial e à distância;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III - Estabelecer parcerias e interface com todos os órgãos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provedores de serviços municipais, estaduais e federais, tendo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em vista o planejamento e a operação da Unidade Piloto, ressalvados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os ajustes de competência da SMTE;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IV - Elaborar, aplicar e monitorar o cumprimento das diretrizes,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dos princípios e dos procedimentos para o funcionamento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da unidade, mediante definição de padrões de qualidade e de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eficiência;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V - Produzir dados estatísticos de atendimento e indicadores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de qualidade relativos aos serviços do Anexo I que sejam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produzidos pelo sistema de gestão do atendimento da SMIT;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VI - Conceber e executar programas de formação e de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capacitação inicial e continuada;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VII- Elaborar e executar projetos específicos de arquitetura,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de engenharia, de comunicação de dados e voz, de cabeamento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estruturado e de comunicação visual necessários à adequação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do espaço, responsabilizando-se, especialmente, pela aquisição,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instalação e manutenção de: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a) mobiliário;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b) sistema de comunicação visual e de sinalização;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c) sistema de gestão de atendimento;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d) cabeamento estruturado;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e) recursos de Tecnologia da Informação e Comunicação.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VIII - Providenciar alterações nas configurações dos equipamentos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de rede local e de longa distância, que alterem o projeto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de rede física e lógica da unidade ou que possam causar impacto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nas configurações de segurança da informação, cabendo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a SMTE informar alterações necessárias para validação;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IX - Conceber, produzir e revisar o material de publicidade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institucional, em meio físico ou eletrônico, destinado a informar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e orientar, periodicamente, a população sobre os serviços e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eventos oferecidos ou realizados no Descomplica de São Miguel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Paulista;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X - Adquirir e manter insumos de informática necessários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ao funcionamento de impressoras vinculadas ao projeto;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XI – Adquirir e distribuir uniformes e crachás, assegurando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eventuais trocas ou reposições;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Art. 4º - As responsabilidades quanto ao pessoal envolvido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no Projeto ficarão a cargo da respectiva Pasta na qual estão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lotados.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Art.5º - O detalhamento das responsabilidades de cada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parte (Matriz de Responsabilidades) constitui o Anexo III desta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Portaria Conjunta.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Art. 6º – O horário de funcionamento do projeto piloto do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Descomplica SP será das 8h00 às 17h00, de segunda a sexta-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lastRenderedPageBreak/>
        <w:t>-feira.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Art.7º - A presente cooperação não envolve transferência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de recursos financeiros entre as partes.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Art. 8º - Esta Portaria entra em vigor na data da sua publicação.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425FAC">
        <w:rPr>
          <w:rFonts w:ascii="Frutiger-BoldCn" w:hAnsi="Frutiger-BoldCn" w:cs="Frutiger-BoldCn"/>
          <w:b/>
          <w:bCs/>
        </w:rPr>
        <w:t>ANEXO I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425FAC">
        <w:rPr>
          <w:rFonts w:ascii="Frutiger-BoldCn" w:hAnsi="Frutiger-BoldCn" w:cs="Frutiger-BoldCn"/>
          <w:b/>
          <w:bCs/>
        </w:rPr>
        <w:t>Cardápio de Serviços no Descomplica SP – SMTE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Cardápio de Serviços – SMTE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Cadastro e Atualização Cadastral CADUnico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Consulta a situação do Beneficio - Programa Bolsa Familia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Cadastro e Atualização do Banco de Dados do Cidadão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- BDC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Consulta a situação do Beneficio Renda Minima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425FAC">
        <w:rPr>
          <w:rFonts w:ascii="Frutiger-BoldCn" w:hAnsi="Frutiger-BoldCn" w:cs="Frutiger-BoldCn"/>
          <w:b/>
          <w:bCs/>
        </w:rPr>
        <w:t>ANEXO II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425FAC">
        <w:rPr>
          <w:rFonts w:ascii="Frutiger-BoldCn" w:hAnsi="Frutiger-BoldCn" w:cs="Frutiger-BoldCn"/>
          <w:b/>
          <w:bCs/>
        </w:rPr>
        <w:t>Quadro de pessoal de SMTE no Descomplica SP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Quadro de Pessoal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SMTE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Atividade Perfil mínimo Quant. De postos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Postos de Atendimento - linha de frente Nível médio 7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Postos de atendimento - retaguarda Nível superior ou médio 2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Supervisor Nível superior 1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425FAC">
        <w:rPr>
          <w:rFonts w:ascii="Frutiger-BoldCn" w:hAnsi="Frutiger-BoldCn" w:cs="Frutiger-BoldCn"/>
          <w:b/>
          <w:bCs/>
        </w:rPr>
        <w:t>ANEXO III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425FAC">
        <w:rPr>
          <w:rFonts w:ascii="Frutiger-BoldCn" w:hAnsi="Frutiger-BoldCn" w:cs="Frutiger-BoldCn"/>
          <w:b/>
          <w:bCs/>
        </w:rPr>
        <w:t>Matriz de responsabilidades SMIT-SMTE no Descomplica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425FAC">
        <w:rPr>
          <w:rFonts w:ascii="Frutiger-BoldCn" w:hAnsi="Frutiger-BoldCn" w:cs="Frutiger-BoldCn"/>
          <w:b/>
          <w:bCs/>
        </w:rPr>
        <w:t>SP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Descomplica SP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Matriz de responsabilidades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lang w:val="en-US"/>
        </w:rPr>
      </w:pPr>
      <w:r w:rsidRPr="00425FAC">
        <w:rPr>
          <w:rFonts w:ascii="Frutiger-Cn" w:hAnsi="Frutiger-Cn" w:cs="Frutiger-Cn"/>
          <w:lang w:val="en-US"/>
        </w:rPr>
        <w:t>SMIT-SMTE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lang w:val="en-US"/>
        </w:rPr>
      </w:pPr>
      <w:r w:rsidRPr="00425FAC">
        <w:rPr>
          <w:rFonts w:ascii="Frutiger-Cn" w:hAnsi="Frutiger-Cn" w:cs="Frutiger-Cn"/>
          <w:lang w:val="en-US"/>
        </w:rPr>
        <w:t>SMIT ATIVIDADE SMIT SMTE</w:t>
      </w: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b/>
        </w:rPr>
      </w:pPr>
      <w:r w:rsidRPr="00425FAC">
        <w:rPr>
          <w:rFonts w:ascii="Frutiger-Cn" w:hAnsi="Frutiger-Cn" w:cs="Frutiger-Cn"/>
          <w:b/>
        </w:rPr>
        <w:t>PLANEJAMENTO / IMPLANTAÇÃO</w:t>
      </w:r>
    </w:p>
    <w:p w:rsid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425FAC">
        <w:rPr>
          <w:rFonts w:ascii="Frutiger-Cn" w:hAnsi="Frutiger-Cn" w:cs="Frutiger-Cn"/>
        </w:rPr>
        <w:t>Projeto Descomplica</w:t>
      </w:r>
    </w:p>
    <w:p w:rsid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>
        <w:rPr>
          <w:rFonts w:ascii="Frutiger-Cn" w:hAnsi="Frutiger-Cn" w:cs="Frutiger-Cn"/>
          <w:noProof/>
          <w:lang w:eastAsia="pt-BR"/>
        </w:rPr>
        <w:drawing>
          <wp:inline distT="0" distB="0" distL="0" distR="0">
            <wp:extent cx="3055620" cy="3298574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329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>
        <w:rPr>
          <w:rFonts w:ascii="Frutiger-Cn" w:hAnsi="Frutiger-Cn" w:cs="Frutiger-Cn"/>
          <w:noProof/>
          <w:lang w:eastAsia="pt-BR"/>
        </w:rPr>
        <w:lastRenderedPageBreak/>
        <w:drawing>
          <wp:inline distT="0" distB="0" distL="0" distR="0">
            <wp:extent cx="3826905" cy="3429000"/>
            <wp:effectExtent l="0" t="0" r="254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657" cy="343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</w:p>
    <w:p w:rsid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b/>
        </w:rPr>
      </w:pPr>
      <w:r w:rsidRPr="00425FAC">
        <w:rPr>
          <w:rFonts w:ascii="Frutiger-Cn" w:hAnsi="Frutiger-Cn" w:cs="Frutiger-Cn"/>
          <w:b/>
        </w:rPr>
        <w:t>OPERAÇÃO E MANUTENÇÃO</w:t>
      </w:r>
    </w:p>
    <w:p w:rsid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b/>
        </w:rPr>
      </w:pPr>
      <w:r>
        <w:rPr>
          <w:rFonts w:ascii="Frutiger-Cn" w:hAnsi="Frutiger-Cn" w:cs="Frutiger-Cn"/>
          <w:b/>
          <w:noProof/>
          <w:lang w:eastAsia="pt-BR"/>
        </w:rPr>
        <w:drawing>
          <wp:inline distT="0" distB="0" distL="0" distR="0">
            <wp:extent cx="2796540" cy="4815795"/>
            <wp:effectExtent l="0" t="0" r="3810" b="444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525" cy="481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b/>
        </w:rPr>
      </w:pPr>
    </w:p>
    <w:p w:rsidR="00425FAC" w:rsidRPr="00425FAC" w:rsidRDefault="00425FAC" w:rsidP="00425FA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b/>
        </w:rPr>
      </w:pPr>
    </w:p>
    <w:sectPr w:rsidR="00425FAC" w:rsidRPr="00425F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3B"/>
    <w:rsid w:val="000700AD"/>
    <w:rsid w:val="00173FC4"/>
    <w:rsid w:val="001A370E"/>
    <w:rsid w:val="001E5CD0"/>
    <w:rsid w:val="00263C83"/>
    <w:rsid w:val="002F4A11"/>
    <w:rsid w:val="003A370A"/>
    <w:rsid w:val="00425FAC"/>
    <w:rsid w:val="00604F2B"/>
    <w:rsid w:val="00634654"/>
    <w:rsid w:val="00644B3B"/>
    <w:rsid w:val="00661B10"/>
    <w:rsid w:val="00682635"/>
    <w:rsid w:val="006D0284"/>
    <w:rsid w:val="007435F5"/>
    <w:rsid w:val="007A04C9"/>
    <w:rsid w:val="007B5612"/>
    <w:rsid w:val="00825C59"/>
    <w:rsid w:val="009B5E01"/>
    <w:rsid w:val="009E6A84"/>
    <w:rsid w:val="009F0E18"/>
    <w:rsid w:val="00A617D4"/>
    <w:rsid w:val="00AB5C42"/>
    <w:rsid w:val="00AE0FC0"/>
    <w:rsid w:val="00B3565D"/>
    <w:rsid w:val="00C35AA6"/>
    <w:rsid w:val="00DE3178"/>
    <w:rsid w:val="00E50574"/>
    <w:rsid w:val="00EB693E"/>
    <w:rsid w:val="00EC4A3D"/>
    <w:rsid w:val="00EC725B"/>
    <w:rsid w:val="00EE6AE4"/>
    <w:rsid w:val="00F7023E"/>
    <w:rsid w:val="00F976E7"/>
    <w:rsid w:val="00FA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6888</Words>
  <Characters>37198</Characters>
  <Application>Microsoft Office Word</Application>
  <DocSecurity>0</DocSecurity>
  <Lines>309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2018-03-08T16:09:00Z</dcterms:created>
  <dcterms:modified xsi:type="dcterms:W3CDTF">2018-03-08T16:09:00Z</dcterms:modified>
</cp:coreProperties>
</file>