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24D" w:rsidRDefault="0048324D" w:rsidP="0048324D">
      <w:pPr>
        <w:spacing w:after="0"/>
        <w:jc w:val="center"/>
        <w:rPr>
          <w:rFonts w:ascii="Times New Roman" w:hAnsi="Times New Roman" w:cs="Times New Roman"/>
          <w:b/>
          <w:bCs/>
          <w:color w:val="000000"/>
        </w:rPr>
      </w:pPr>
      <w:bookmarkStart w:id="0" w:name="_GoBack"/>
      <w:bookmarkEnd w:id="0"/>
      <w:r>
        <w:rPr>
          <w:rFonts w:ascii="Cambria" w:hAnsi="Cambria"/>
          <w:b/>
          <w:noProof/>
          <w:sz w:val="28"/>
          <w:szCs w:val="28"/>
          <w:lang w:eastAsia="pt-BR"/>
        </w:rPr>
        <w:drawing>
          <wp:inline distT="0" distB="0" distL="0" distR="0" wp14:anchorId="715CD987" wp14:editId="12120263">
            <wp:extent cx="878840" cy="8788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8840" cy="878840"/>
                    </a:xfrm>
                    <a:prstGeom prst="rect">
                      <a:avLst/>
                    </a:prstGeom>
                    <a:noFill/>
                    <a:ln>
                      <a:noFill/>
                    </a:ln>
                  </pic:spPr>
                </pic:pic>
              </a:graphicData>
            </a:graphic>
          </wp:inline>
        </w:drawing>
      </w:r>
    </w:p>
    <w:p w:rsidR="0048324D" w:rsidRDefault="0048324D" w:rsidP="0048324D">
      <w:pPr>
        <w:spacing w:after="0"/>
        <w:jc w:val="both"/>
        <w:rPr>
          <w:rFonts w:ascii="Times New Roman" w:hAnsi="Times New Roman" w:cs="Times New Roman"/>
          <w:b/>
          <w:bCs/>
          <w:color w:val="000000"/>
          <w:sz w:val="24"/>
          <w:szCs w:val="24"/>
        </w:rPr>
      </w:pPr>
    </w:p>
    <w:p w:rsidR="0048324D" w:rsidRDefault="0048324D" w:rsidP="0048324D">
      <w:pPr>
        <w:tabs>
          <w:tab w:val="left" w:pos="3945"/>
        </w:tabs>
        <w:spacing w:after="240"/>
        <w:jc w:val="center"/>
        <w:rPr>
          <w:rFonts w:ascii="Verdana" w:hAnsi="Verdana"/>
          <w:b/>
          <w:sz w:val="24"/>
          <w:szCs w:val="24"/>
        </w:rPr>
      </w:pPr>
      <w:r>
        <w:rPr>
          <w:rFonts w:ascii="Verdana" w:hAnsi="Verdana"/>
          <w:b/>
          <w:sz w:val="24"/>
          <w:szCs w:val="24"/>
        </w:rPr>
        <w:t>Publicado no D.O.C. São Paulo, 144, Ano 62 Terça-feira.</w:t>
      </w:r>
    </w:p>
    <w:p w:rsidR="0048324D" w:rsidRDefault="0048324D" w:rsidP="0048324D">
      <w:pPr>
        <w:autoSpaceDE w:val="0"/>
        <w:autoSpaceDN w:val="0"/>
        <w:adjustRightInd w:val="0"/>
        <w:spacing w:after="0" w:line="240" w:lineRule="auto"/>
        <w:jc w:val="center"/>
        <w:rPr>
          <w:rFonts w:ascii="Verdana" w:hAnsi="Verdana"/>
          <w:b/>
          <w:sz w:val="24"/>
          <w:szCs w:val="24"/>
        </w:rPr>
      </w:pPr>
      <w:r>
        <w:rPr>
          <w:rFonts w:ascii="Verdana" w:hAnsi="Verdana"/>
          <w:b/>
          <w:sz w:val="24"/>
          <w:szCs w:val="24"/>
        </w:rPr>
        <w:t>01 de Agosto de 2017</w:t>
      </w:r>
    </w:p>
    <w:p w:rsidR="0048324D" w:rsidRDefault="0048324D" w:rsidP="0048324D">
      <w:pPr>
        <w:autoSpaceDE w:val="0"/>
        <w:autoSpaceDN w:val="0"/>
        <w:adjustRightInd w:val="0"/>
        <w:spacing w:after="0" w:line="240" w:lineRule="auto"/>
        <w:jc w:val="center"/>
        <w:rPr>
          <w:rFonts w:ascii="Verdana" w:hAnsi="Verdana"/>
          <w:b/>
          <w:sz w:val="24"/>
          <w:szCs w:val="24"/>
        </w:rPr>
      </w:pPr>
    </w:p>
    <w:p w:rsidR="0048324D" w:rsidRDefault="0048324D" w:rsidP="0048324D">
      <w:pPr>
        <w:autoSpaceDE w:val="0"/>
        <w:autoSpaceDN w:val="0"/>
        <w:adjustRightInd w:val="0"/>
        <w:spacing w:after="0" w:line="240" w:lineRule="auto"/>
        <w:jc w:val="center"/>
        <w:rPr>
          <w:rFonts w:ascii="Verdana" w:hAnsi="Verdana"/>
          <w:b/>
          <w:sz w:val="24"/>
          <w:szCs w:val="24"/>
        </w:rPr>
      </w:pPr>
    </w:p>
    <w:p w:rsidR="0048324D" w:rsidRDefault="0048324D" w:rsidP="0048324D">
      <w:pPr>
        <w:autoSpaceDE w:val="0"/>
        <w:autoSpaceDN w:val="0"/>
        <w:adjustRightInd w:val="0"/>
        <w:spacing w:after="0" w:line="240" w:lineRule="auto"/>
        <w:jc w:val="center"/>
        <w:rPr>
          <w:rFonts w:ascii="Verdana" w:hAnsi="Verdana"/>
          <w:b/>
          <w:sz w:val="24"/>
          <w:szCs w:val="24"/>
        </w:rPr>
      </w:pPr>
      <w:r>
        <w:rPr>
          <w:rFonts w:ascii="Verdana" w:hAnsi="Verdana"/>
          <w:b/>
          <w:sz w:val="24"/>
          <w:szCs w:val="24"/>
        </w:rPr>
        <w:t>Gabinete do Prefeito, pág. 01</w:t>
      </w:r>
    </w:p>
    <w:p w:rsidR="0048324D" w:rsidRDefault="0048324D" w:rsidP="0048324D">
      <w:pPr>
        <w:autoSpaceDE w:val="0"/>
        <w:autoSpaceDN w:val="0"/>
        <w:adjustRightInd w:val="0"/>
        <w:spacing w:after="0" w:line="240" w:lineRule="auto"/>
        <w:jc w:val="center"/>
        <w:rPr>
          <w:rFonts w:ascii="Verdana" w:hAnsi="Verdana"/>
          <w:b/>
          <w:sz w:val="24"/>
          <w:szCs w:val="24"/>
        </w:rPr>
      </w:pPr>
    </w:p>
    <w:p w:rsidR="0048324D" w:rsidRPr="003A0D34" w:rsidRDefault="0048324D" w:rsidP="0048324D">
      <w:pPr>
        <w:autoSpaceDE w:val="0"/>
        <w:autoSpaceDN w:val="0"/>
        <w:adjustRightInd w:val="0"/>
        <w:spacing w:after="0" w:line="240" w:lineRule="auto"/>
        <w:rPr>
          <w:rFonts w:ascii="Verdana" w:hAnsi="Verdana" w:cs="Frutiger-BlackCn"/>
          <w:b/>
          <w:bCs/>
        </w:rPr>
      </w:pPr>
      <w:r w:rsidRPr="003A0D34">
        <w:rPr>
          <w:rFonts w:ascii="Verdana" w:hAnsi="Verdana" w:cs="Frutiger-BlackCn"/>
          <w:b/>
          <w:bCs/>
        </w:rPr>
        <w:t>LEI Nº 16.693, DE 31 DE JULHO DE 2017</w:t>
      </w:r>
    </w:p>
    <w:p w:rsidR="0048324D" w:rsidRPr="003A0D34" w:rsidRDefault="0048324D" w:rsidP="0048324D">
      <w:pPr>
        <w:autoSpaceDE w:val="0"/>
        <w:autoSpaceDN w:val="0"/>
        <w:adjustRightInd w:val="0"/>
        <w:spacing w:after="0" w:line="240" w:lineRule="auto"/>
        <w:rPr>
          <w:rFonts w:ascii="Verdana" w:hAnsi="Verdana" w:cs="Frutiger-BoldCn"/>
          <w:b/>
          <w:bCs/>
        </w:rPr>
      </w:pPr>
      <w:r w:rsidRPr="003A0D34">
        <w:rPr>
          <w:rFonts w:ascii="Verdana" w:hAnsi="Verdana" w:cs="Frutiger-BoldCn"/>
          <w:b/>
          <w:bCs/>
        </w:rPr>
        <w:t>(Projeto de Lei nº 239/17, do Executivo, aprovado na</w:t>
      </w:r>
    </w:p>
    <w:p w:rsidR="0048324D" w:rsidRPr="003A0D34" w:rsidRDefault="0048324D" w:rsidP="0048324D">
      <w:pPr>
        <w:autoSpaceDE w:val="0"/>
        <w:autoSpaceDN w:val="0"/>
        <w:adjustRightInd w:val="0"/>
        <w:spacing w:after="0" w:line="240" w:lineRule="auto"/>
        <w:rPr>
          <w:rFonts w:ascii="Verdana" w:hAnsi="Verdana" w:cs="Frutiger-BoldCn"/>
          <w:b/>
          <w:bCs/>
        </w:rPr>
      </w:pPr>
      <w:r w:rsidRPr="003A0D34">
        <w:rPr>
          <w:rFonts w:ascii="Verdana" w:hAnsi="Verdana" w:cs="Frutiger-BoldCn"/>
          <w:b/>
          <w:bCs/>
        </w:rPr>
        <w:t>forma de Substitutivo do Legislativo)</w:t>
      </w:r>
    </w:p>
    <w:p w:rsidR="0048324D" w:rsidRPr="003A0D34" w:rsidRDefault="0048324D" w:rsidP="0048324D">
      <w:pPr>
        <w:autoSpaceDE w:val="0"/>
        <w:autoSpaceDN w:val="0"/>
        <w:adjustRightInd w:val="0"/>
        <w:spacing w:after="0" w:line="240" w:lineRule="auto"/>
        <w:rPr>
          <w:rFonts w:ascii="Verdana" w:hAnsi="Verdana" w:cs="Frutiger-LightItalic"/>
          <w:i/>
          <w:iCs/>
        </w:rPr>
      </w:pPr>
      <w:r w:rsidRPr="003A0D34">
        <w:rPr>
          <w:rFonts w:ascii="Verdana" w:hAnsi="Verdana" w:cs="Frutiger-LightItalic"/>
          <w:i/>
          <w:iCs/>
        </w:rPr>
        <w:t>Dispõe sobre as diretrizes orçamentárias</w:t>
      </w:r>
    </w:p>
    <w:p w:rsidR="0048324D" w:rsidRPr="003A0D34" w:rsidRDefault="0048324D" w:rsidP="0048324D">
      <w:pPr>
        <w:autoSpaceDE w:val="0"/>
        <w:autoSpaceDN w:val="0"/>
        <w:adjustRightInd w:val="0"/>
        <w:spacing w:after="0" w:line="240" w:lineRule="auto"/>
        <w:rPr>
          <w:rFonts w:ascii="Verdana" w:hAnsi="Verdana" w:cs="Frutiger-LightItalic"/>
          <w:i/>
          <w:iCs/>
        </w:rPr>
      </w:pPr>
      <w:r w:rsidRPr="003A0D34">
        <w:rPr>
          <w:rFonts w:ascii="Verdana" w:hAnsi="Verdana" w:cs="Frutiger-LightItalic"/>
          <w:i/>
          <w:iCs/>
        </w:rPr>
        <w:t>para o exercício de 2018.</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JOÃO DORIA, Prefeito do Município de São Paulo, no uso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das atribuições que lhe são conferidas por lei, faz saber que 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Câmara Municipal, em sessão de 3 de julho de 2017, decretou 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eu promulgo a seguinte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CAPÍTULO 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DAS DISPOSIÇÕES PRELIMINARES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1º Em cumprimento ao disposto no § 2º do art. 165</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Constituição Federal e no § 2º do art. 137 da Lei Orgânica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do Município de São Paulo, esta lei estabelece as diretrizes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orçamentárias do Município para o exercício de 2018, compreendendo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orientações para: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a elaboração da proposta orçamentária;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a estrutura e a organização do orçamento;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as alterações da Lei Orçamentária;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IV - as alterações na legislação tributária do Município;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 - as despesas do Município com pessoal e encargos;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 - a execução orçamentária;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VII - as disposições gerais.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2º Em cumprimento ao disposto na Lei Complementar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Federal nº 101, de 4 de maio de 2000, integram esta lei 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seguintes anexos: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de Prioridades e Metas;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de Metas Fiscais, composto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 demonstrativo de metas anuais de receitas, despesas,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resultados primário e nominal e montante da dívida pública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para os exercícios de 2018, 2019 e 2020, em valores correntes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constantes, acompanhado da respectiva metodologia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cálculo;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b) demonstrativo das metas anuais de receitas, despesas,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resultados primário e nominal e montante da dívida pública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fixados para os exercícios de 2015, 2016 e 2017;</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 avaliação quanto ao cumprimento das metas do exercício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2016;</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lastRenderedPageBreak/>
        <w:t>d) evolução do patrimônio líquido dos exercícios de 2014,</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2015 e 2016, destacando origem e aplicação dos recursos obtidos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com alienação de ativos;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demonstrativo da estimativa de renúncia de receita 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sua compensação;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 demonstrativo da margem de expansão das despesas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obrigatórias de caráter continuado;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g) avaliação da situação financeira e atuarial do regime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próprio de previdência dos servidores municipais, gerido pelo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Instituto de Previdência Municipal de São Paulo – IPREM;</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de Riscos Fiscais.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CAPÍTULO II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DAS ORIENTAÇÕES GERAIS PARA A ELABORAÇÃO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PROPOSTA ORÇAMENTÁRIA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3º O projeto de lei orçamentária, relativo ao exercício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2018, deverá assegurar os princípios da justiça, da participação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popular e de controle social, de transparência e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sustentabilidade na elaboração e execução do orçamento, na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seguinte conformidade: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o princípio de justiça social implica assegurar, na elaboração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execução do orçamento, políticas públicas, projetos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atividades que venham a reduzir as desigualdades entre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indivíduos e regiões da cidade, bem como combater a exclusão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social, o trabalho escravo e a vulnerabilidade da juventude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negra em São Paulo;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o princípio da participação da sociedade e de controle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social implica assegurar a todo cidadão a participação na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elaboração e no acompanhamento do orçamento por meio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instrumentos previstos na legislação;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o princípio da transparência implica, além da observância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ao princípio constitucional da publicidade, a utilização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todos os meios disponíveis para garantir o efetivo acesso dos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munícipes às informações relativas ao orçamento;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IV - o princípio da sustentabilidade deve ser transversal 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todas as áreas da Administração Municipal e assegura o compromisso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com uma gestão comprometida com a qualidade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vida da população e a eficiência dos serviços públicos;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 - princípio da prioridade absoluta da criança e do adolescente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junto à elaboração e execução orçamentária.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Parágrafo único. Os princípios estabelecidos neste artigo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objetivam:</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reestruturar o espaço urbano e a reordenação do desenvolvimento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cidade a partir de um compromisso com 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direitos sociais e civis;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eliminar as desigualdades sociais, raciais e territoriais 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partir de um desenvolvimento econômico sustentável;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aprofundar os mecanismos de gestão descentralizada,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participativa e transparente.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4º A elaboração da lei orçamentária deverá pautar-se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pela transparência da gestão fiscal, observando-se o princípio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publicidade e permitindo-se o amplo acesso da sociedade 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todas as informações relativas às suas diversas etapas.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lastRenderedPageBreak/>
        <w:t>§ 1º Para assegurar a transparência e a ampla participação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popular durante o processo de elaboração da proposta orçamentária,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 Poder Executivo promoverá audiências públicas,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forma regionalizada e individualizada por Prefeitura Regional,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nos termos do art. 48 da Lei Complementar Federal nº 101,</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2000.</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2º Para discussão da proposta orçamentária, as Prefeituras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Regionais organizarão, em conjunto com os Conselhos Participativos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xml:space="preserve">Municipais, processo de consulta, acompanhamento </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monitoramento, de modo a garantir a participação social na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elaboração e gestão do orçamento.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3º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4º Será dada ampla publicidade pelos meios de comunicação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das datas, horários e locais de realização das audiências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que trata o § 1º deste artigo, com antecedência mínima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10 (dez) dias, inclusive com publicação no Diário Oficial 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Cidade e na página oficial da Prefeitura na internet.</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5º São instrumentos de transparência da gestão fiscal,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aos quais será dada ampla divulgação, inclusive em meios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eletrônicos de acesso público: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os planos, orçamentos e leis de diretrizes orçamentárias;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o programa de metas a que se refere o art. 69-A da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Orgânica do Município de São Paulo;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o balanço geral das contas anuais e pareceres prévios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elaborados pelo Tribunal de Contas do Município de São Paulo;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IV - o Relatório Resumido da Execução Orçamentária;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 - o Relatório de Gestão Fiscal;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 - os sistemas de gestão utilizados pela Administração;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VII - os indicadores de desempenho relativos à qualidade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dos serviços públicos no Município de São Paulo, estabelecidos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na Lei nº 14.173, de 26 de junho de 2006;</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VIII - o Portal da Transparência;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IX - o Portal Planeja Sampa.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6º Até 5 (cinco) dias úteis após o envio da proposta orçamentária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à Câmara Municipal, o Poder Executivo publicará em</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sua página na internet cópia integral do referido projeto e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seus anexos, bem como a base de dados do orçamento público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do exercício e dos 3 (três) anos anteriores, contendo, no mínimo,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 possibilidade de agregar as seguintes variáveis: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órgão;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função;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programa;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IV - projeto, atividade e operação especial;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 - categoria econômica;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 - fonte de recurso.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5º A proposta orçamentária do Município para 2018</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será elaborada de acordo com as seguintes orientações gerais: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participação da sociedade por meio de consultas públicas,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audiências públicas, dentre outros instrumentos;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responsabilidade na gestão fiscal;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desenvolvimento econômico e social, visando à redução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das desigualdades;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lastRenderedPageBreak/>
        <w:t>IV - eficiência e qualidade na prestação de serviços públicos,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em especial nas ações e serviços de saúde, educação,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cultura, meio ambiente, transporte, habitação, assistência social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segurança alimentar e nutricional;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 - ação planejada, descentralizada e transparente, mediante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incentivo à participação da sociedade, com fortalecimento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orçamentário das Prefeituras Regionais;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 - articulação, cooperação e parceria com a União, o Estado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a iniciativa privada;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VII - acesso e oportunidades iguais para toda a sociedade;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VIII - preservação do meio ambiente com implantação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parques, incentivo à agricultura familiar, apoio à produção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orgânica, agroecologia e desenvolvimento rural sustentável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destinação adequada dos resíduos sólidos, preservação 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patrimônio histórico material e imaterial e das manifestações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culturais;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IX - resgate da cidadania e direitos humanos nos territórios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mais vulneráveis;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 - estruturação do Plano Diretor, estabelecido pela Lei nº</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16.050, de 2014;</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XI - priorizar a aplicação de recursos em programas, projetos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atividades culturais realizados nas regiões de maior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vulnerabilidade social, notadamente aquelas mais desprovidas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equipamentos culturais;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XII - valorização salarial das carreiras dos servidores públicos;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XIII - priorização dos direitos sociais da pessoa idosa 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crianças, adolescentes e jovens, garantindo sua autonomia,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integração e participação efetiva na comunidade e defendendo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sua dignidade, bem-estar e o direito à vida;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XIV - promoção de políticas públicas em favor das minorias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sociais: juventude negra, indígenas, LGBT, imigrantes, mulheres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em condição de vulnerabilidade social, pessoas em situação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rua e pessoas com deficiência e de povos e comunidades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tradicionais;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XV - priorização dos direitos sociais da mulher, promovendo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severo combate a qualquer forma de violência;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XVI - inclusão social das pessoas com deficiência;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XVII - modernização, eficiência e transparência na gestão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pública por meio do uso intensivo de tecnologia;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XVIII - indução do crescimento econômico, por meio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apoio ao empreendedorismo e geração de trabalho e renda.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6º As metas e prioridades da Administração Municipal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para o exercício de 2018 são aquelas especificadas no Anexo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Prioridades e Metas, observando o Programa de Metas da Cidade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São Paulo 2017-2020, elaborado nos termos do art. 69-A,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Lei Orgânica do Município, e seu estabelecimento far-se-á no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âmbito da Lei Orçamentária e do Plano Plurianual 2018-2021,</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em consonância com o disposto nos §§ 9º e 10 do art. 137 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referido diploma legal.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1º Deverão ser considerados também os Planos Setoriais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vigentes: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IV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IX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XIII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XIV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XV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XVI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XVII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XVIII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2º Sem prejuízo do disposto no “caput” deste artigo,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são prioridades e metas da Administração Municipal para 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exercício de 2018:</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IV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 - garantir o atendimento para todas as crianças nas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Escolas Municipais de Educação Infantil – EMEIs e nas Escolas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Municipais de Ensino Fundamental – EMEFs, respeitando 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parâmetros da relação professor/aluno/grupos estabelecidos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pelo Plano Municipal de Educação;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 - ampliar o número de unidades de CCInter – Centro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Convivência Intergeracional;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VII - ampliar, no âmbito das SMADS, o número de Repúblicas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Repúblicas Jovens;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VIII - ampliação do atendimento veterinário gratuito para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cães e gatos da população de baixa renda por meio da implantação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novos hospitais públicos veterinários;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IX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XI - construção e instalação de Unidades Básicas Integrais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Saúde, instituindo o Serviço de Atendimento Homeopático;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XII - instituir o Serviço de Atendimento Homeopático na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Rede Hospitalar Municipal de Saúde;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XIII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XIV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XV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XVI - criação do atendimento pedagógico hospitalar decorrente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Lei nº 15.886/2013;</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XVII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XVIII - conclusão da construção do hospital na região 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Prefeitura Regional de Parelheiros;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XIX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XXIII - fomentar o abastecimento de medicamentos, insumos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equipamentos hospitalares nos hospitais públicos;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XXIV - promover a redução da violência urbana com 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monitoramento na cidade por meio de câmeras;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XXV - implantar o Programa de Educação Ambiental para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Sustentabilidade aos professores e alunos do Ensino Fundamental;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XXVI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XXVII - assegurar as condições de acessibilidade em todos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os equipamentos públicos que passarão por reformas;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XXVIII - ampliar em 30.000 o número de matrículas em</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creches, priorizando as regiões mais periféricas e com maior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demanda;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XXIX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XXX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XXXI - garantir as adequações previstas pela Lei nº 16.673,</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13 de junho de 2017;</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XXXII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XXXIII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XXXIV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XXXV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XXXVI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XXXVII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XXXVIII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XXXIX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XL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XLI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XLII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XLIII - aquisição de uniformes, coletes à prova de balas 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armas de fogo para a Guarda Metropolitana;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XLIV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XLV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XLVI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XLVII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XLVIII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XLIX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LIII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LIV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LV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LVI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LVII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LVIII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LIX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LX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LXI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LXII - garantir programas de incentivo à leitura e fruição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literária para contemplar iniciativas existentes no território das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bibliotecas de acesso público em diferentes espaços culturais;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LXIII - construção e reforma de Unidades Básicas de Saúde;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LXIV - implantação, ampliação e melhoria da iluminação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pública;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LXV - pavimentação e recapeamento de vias;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LXVI - reforma e revitalização de praças;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LXVII - canalização e adequação de córregos;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LXVIII - ampliação da Rede Municipal de Ensino;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LXIX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7º A Câmara Municipal de São Paulo e o Tribunal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Contas do Município de São Paulo encaminharão ao Poder Executivo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suas propostas orçamentárias para 2018, para inserção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no projeto de lei orçamentária, até o último dia útil do mês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agosto de 2017, observado o disposto nesta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8º Integrarão a proposta orçamentária do Município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para 2018:</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projeto de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anexo com os critérios de projeção da receita;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demonstrativo das medidas de compensação às renúncias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receita e ao aumento de despesas obrigatórias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caráter continuado;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IV - anexos e demonstrativos de que tratam os arts. 22, 23</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24 desta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 - demonstrativo com as seguintes informações sobre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cada uma das operações de crédito que constarem da receita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orçamentária estimada: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 operação de crédito contratada, com número da lei que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autorizou o empréstimo, órgão financiador, número do contrato,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data de assinatura, valor contratado total, valor estimado para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 exercício de 2018 e valor de contrapartidas detalhado por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fonte de recursos;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b) operação de crédito não contratada, com número da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que autorizou o empréstimo, órgão financiador, valor estimado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para o exercício de 2018 e valor de contrapartidas detalhado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por fonte de recursos;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 - demonstrativo a respeito da dívida ativa, contendo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memória de cálculo da receita prevista para 2018, com valores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por tributo e por outros tipos de dívida;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VII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9º Acompanhará o projeto de lei orçamentária o saldo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todos os fundos municipais em 31 de agosto de 2017.</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10. Acompanhará a proposta orçamentária do Município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para 2018 mensagem da Chefia do Poder Executivo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contendo, no mínimo: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demonstrativo dos efeitos decorrentes de isenções, anistias,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remissões, subsídios e benefícios de natureza financeira,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tributária e creditícia sobre as receitas e despesas;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demonstrativo da compatibilidade entre o orçamento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proposto e as metas constantes do Anexo de Metas Fiscais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que trata a alínea “a” do inciso II do art. 2º desta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demonstrativo do atendimento aos princípios de que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tratam os incisos I, II, III, IV e V do “caput” do art. 3º desta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11. Os projetos e atividades constantes do programa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trabalho dos órgãos e unidades orçamentárias deverão, à</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medida do possível, ser identificados em conformidade com 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disposto no § 8º do art. 137 da Lei Orgânica do Município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São Paulo.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12. Em cumprimento ao disposto no “caput” e na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alínea “e” do inciso I do art. 4º da Lei Complementar Federal nº</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101, de 2000, a alocação dos recursos na lei orçamentária será</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feita de forma a propiciar o controle de custos das ações e 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avaliação dos resultados dos programas de governo.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Parágrafo único.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13. A lei orçamentária conterá dotação para reserva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contingência, no valor de até 0,4% (quatro décimos por cento)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receita corrente líquida prevista para o exercício de 2018,</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destinada ao atendimento de passivos contingentes e outros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riscos e eventos fiscais imprevistos.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14. A lei orçamentária não consignará recursos para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início de novos projetos se não estiverem adequadamente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atendidos aqueles em andamento e contempladas as despesas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conservação do patrimônio público.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1º O disposto no “caput” deste artigo aplica-se no âmbito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cada fonte de recursos, conforme vinculações legalmente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estabelecidas.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2º Entendem-se por adequadamente atendidos os projetos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cuja alocação de recursos orçamentários esteja compatível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com os cronogramas físico-financeiros vigentes.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15. A lei orçamentária anual poderá conter dotações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relativas a projetos a serem desenvolvidos por meio de parcerias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público-privadas, reguladas pela Lei Federal nº 11.079,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30 de dezembro de 2004, e alterações, e pela Lei Municipal nº</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14.517, de 16 de outubro de 2007, e alterações, bem como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consórcios públicos, regulados pela Lei Federal nº 11.107, de 6</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abril de 2005.</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16. No projeto de lei orçamentária para 2018, 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recursos do Fundo Municipal de Desenvolvimento, instituído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pela Lei nº 16.651, de 16 de maio de 2017, que cria o Conselho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Municipal de Desestatização e Parcerias e o Fundo Municipal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Desenvolvimento, priorizarão a funcionalidade e a efetividade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infraestrutura instalada.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Parágrafo único.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17. Na estimativa das receitas do projeto de lei orçamentária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da respectiva lei, poderão ser considerados 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efeitos de propostas de alterações legais em tramitação.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1º Caso a receita seja estimada na forma do “caput”</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deste artigo, o projeto de lei orçamentária deverá:</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identificar as proposições de alterações na legislação 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especificar a receita adicional esperada, em decorrência de cada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uma das propostas e seus dispositivos;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indicar a fonte específica à despesa correspondente,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identificando-a como condicionada à aprovação das respectivas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alterações na legislação.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2º Caso as alterações propostas não sejam aprovadas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ou parcialmente aprovadas até 31 de dezembro de 2017, não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permitindo a integralização dos recursos esperados, as dotações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à conta das referidas receitas não serão executadas no todo ou</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em parte, conforme o caso.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18. O projeto de lei orçamentária poderá computar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na receita: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operação de crédito autorizada por lei específica, nos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termos do § 2º do art. 7º da Lei Federal nº 4.320, de 17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março de 1964, observado o disposto no § 2º do art. 12 e no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32, ambos da Lei Complementar Federal nº 101, de 2000,</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no inciso III do “caput” do art. 167 da Constituição Federal,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assim como, se for o caso, os limites e condições fixados pelo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Senado Federal;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os efeitos de programas de alienação de bens imóveis 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incentivo ao pagamento de débitos inscritos na dívida ativa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do Município.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Parágrafo único. No caso do inciso I do “caput” deste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artigo, a lei orçamentária anual deverá conter demonstrativo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especificando, por operação de crédito, as dotações de projetos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atividades a serem financiados por tais recursos.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19. As despesas com publicidade de interesse 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Município restringir-se-ão aos gastos necessários à divulgação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institucional, de investimentos, de serviços públicos, bem como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campanhas de natureza educativa ou preventiva, excluídas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as despesas com a publicação de editais e outras publicações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legais.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1º Os recursos necessários às despesas referidas no “caput”</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deste artigo deverão onerar as seguintes dotações: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publicações de interesse do Município;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publicações de editais e outras publicações legais.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2º Deverá ser criada, nas propostas orçamentárias da Secretaria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Municipal de Educação e do Fundo Municipal de Saúde,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 atividade referida no inciso I do § 1º deste artigo, com 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devida classificação programática, visando à aplicação de seus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respectivos recursos vinculados, quando for o caso.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3º As despesas de que trata este artigo, no tocante à</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Câmara Municipal de São Paulo, onerarão a atividade “Câmara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Municipal – Comunicação”.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20.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Parágrafo único.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21.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CAPÍTULO III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ESTRUTURA E ORGANIZAÇÃO DO ORÇAMENTO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22. Integrarão a lei orçamentária anual do Município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os seguintes anexos e demonstrativos, relativos ao orçamento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consolidado da Administração Direta e seus fundos, entidades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autárquicas, fundacionais e empresas estatais dependentes,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o orçamento de investimentos das empresas em que o Município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detenha, direta ou indiretamente, a maioria do capital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acionário: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receita e despesa, compreendendo: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 receita e despesa por categoria econômica;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b) sumário geral da receita por fontes e da despesa por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funções de governo;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da receita, compreendendo: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 legislação;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b) a previsão para 2018 por categoria econômica;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 a evolução por categoria econômica, incluindo a receita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arrecadada nos exercícios de 2014, 2015 e 2016, a receita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prevista para o exercício de 2017 conforme aprovada pela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orçamentária e a receita orçada para 2018;</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da despesa, compreendendo: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 a despesa fixada por órgão e por unidade orçamentária,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discriminando projetos, atividades e operações especiais;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b) o programa de trabalho do governo, evidenciando 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programas de governo por funções e subfunções, discriminando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projetos, atividades e operações especiais;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 a despesa por órgãos e funções;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 a evolução por órgão, incluindo a despesa realizada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no exercício de 2016, a despesa fixada para 2017 conforme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aprovado pela lei orçamentária e a despesa orçada para 2018;</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a evolução por grupo de despesa, incluindo a despesa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realizada no exercício de 2016, a despesa fixada para 2017</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conforme aprovado pela lei orçamentária e a despesa orçada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para 2018;</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 demonstrativos do cumprimento das disposições legais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relativas à aplicação de recursos em saúde e educação;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g) demonstrativo da despesa por funções, subfunções 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programas conforme o vínculo com os recursos;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h) demonstrativo dos detalhamentos das ações, regionalizados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no nível de Prefeitura Regional, quando possível;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IV - da legislação e atribuições de cada órgão;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 - da dívida pública, contendo: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 demonstrativo da dívida pública;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b) demonstrativo de operações de crédito, evidenciando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fontes de recursos e sua aplicação;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 despesas vinculadas a operações de crédito, discriminando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projetos.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23. O orçamento de cada um dos órgãos da Administração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Direta e seus fundos, bem como o das entidades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autárquicas, fundacionais e empresas estatais dependentes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discriminará suas despesas, no mínimo, com os seguintes níveis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detalhamento: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programa de trabalho do órgão;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despesa do órgão detalhada por grupo de natureza 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modalidade de aplicação;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despesa por unidade orçamentária, evidenciando 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classificações institucional, funcional e programática, detalhando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os programas segundo projetos, atividades e operações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especiais, e especificando as dotações por, no mínimo, categoria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econômica, grupo de natureza de despesa e modalidade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aplicação.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24. O orçamento de investimentos das empresas discriminará,</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para cada empresa: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os objetivos sociais, a base legal de instituição, a composição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acionária e a descrição da programação de investimentos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para o exercício de 2018;</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o demonstrativo de investimentos especificados por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projetos, de acordo com as fontes de financiamento.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Parágrafo único. Será disponibilizado acesso, por meio 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internet, aos dados de execução orçamentária e financeira das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empresas mencionadas no “caput” deste artigo.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CAPÍTULO IV</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DAS ALTERAÇÕES DA LEI ORÇAMENTÁRIA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25. Com fundamento no § 8º do art. 165 da Constituição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Federal e nos arts. 7º e 43 da Lei Federal nº 4.320, de 17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março de 1964, bem como no que determina o inciso VI do art.</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167 da Constituição Federal, fica autorizado o Poder Executivo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 proceder, mediante decreto, à abertura de créditos suplementares,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bem como transpor, remanejar, transferir ou utilizar, total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ou parcialmente, as dotações orçamentárias aprovadas na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orçamentária de 2018 e em créditos adicionais.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Parágrafo único. A lei orçamentária estabelecerá o limite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percentual e sua base de cálculo para utilização da autorização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do “caput”.</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26. Ficam a Câmara Municipal e o Tribunal de Contas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do Município autorizados a abrirem, por ato próprio, créditos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suplementares às dotações dos respectivos Órgãos, desde que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os recursos sejam provenientes de anulação total ou parcial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suas dotações orçamentárias, conforme estabelece o inciso II 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27 da Lei Orgânica do Município de São Paulo.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27. Ficam as entidades da Administração Indireta autorizadas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 abrirem, por ato próprio, créditos suplementares às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dotações dos respectivos Órgãos, desde que os recursos sejam</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provenientes de anulação total ou parcial de suas dotações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orçamentárias.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Parágrafo único. A lei orçamentária estabelecerá o limite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percentual e sua base de cálculo para utilização da autorização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do “caput”.</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CAPÍTULO V</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DAS ALTERAÇÕES NA LEGISLAÇÃO TRIBUTÁRIA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28. O Poder Executivo poderá encaminhar ao Poder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Legislativo projetos de lei propondo alterações na legislação, inclusive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na que dispõe sobre tributos municipais, se necessárias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à preservação do equilíbrio das contas públicas, à consecução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justiça fiscal, à eficiência e modernização da máquina arrecadadora,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à alteração das regras de uso e ocupação do solo,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subsolo e espaço aéreo, bem como ao cancelamento de débitos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cujo montante seja inferior aos respectivos custos de cobrança.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29. Os projetos de lei de concessão de anistia, remissão,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subsídio, crédito presumido, concessão de isenção em</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caráter não geral, alteração de alíquota ou modificação de base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cálculo que impliquem redução discriminada de tributos ou</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contribuições, e outros benefícios que correspondam a tratamento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diferenciado, atenderão ao disposto no art. 14 da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Complementar Federal nº 101, de 2000, devendo ser instruídos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com demonstrativo evidenciando que não serão afetadas 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metas de resultado nominal e primário.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Parágrafo único. A renúncia de receita decorrente de incentivos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fiscais em todas as regiões da cidade será considerada na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estimativa de receita da lei orçamentária.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CAPÍTULO VI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DAS ORIENTAÇÕES RELATIVAS ÀS DESPESAS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PESSOAL E ENCARGOS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30. No exercício financeiro de 2018, as despesas com</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pessoal dos Poderes Executivo e Legislativo observarão 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disposições contidas nos arts. 18, 19 e 20 da Lei Complementar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Federal nº 101, de 2000.</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31. Observado o disposto no art. 30 desta lei, o Poder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Executivo poderá encaminhar projetos de lei visando 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concessão e absorção de vantagens e aumento de remuneração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servidores;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criação e extinção de cargos públicos;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criação, extinção e alteração da estrutura de carreiras;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IV - provimento de cargos e contratações estritamente necessárias,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respeitada a legislação municipal vigente;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 - revisão do sistema de pessoal, particularmente 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plano de cargos, carreiras e salários, objetivando a melhoria 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qualidade do serviço público por meio de políticas de valorização,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desenvolvimento profissional e melhoria das condições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trabalho do servidor público.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1º Fica dispensada do encaminhamento de projeto de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 concessão de vantagens já previstas na legislação.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2º A criação ou ampliação de cargos deverá ser precedida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apresentação, por parte da pasta interessada, do Planejamento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Necessidades de Pessoal Setorial e da demonstração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do atendimento aos requisitos da Lei Complementar Federal nº</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101, de 2000, observando ainda o estabelecido no Decreto nº</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54.851, de 17 de fevereiro de 2014, e alterações.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3º O Poder Executivo respeitará as negociações realizadas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no âmbito do Sistema de Negociação Permanente – SINP</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com respeito às despesas com pessoal e encargos.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4º O projeto de lei que tratar da revisão geral anual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dos servidores públicos municipais não poderá conter matéria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estranha a esta.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32. Observado o disposto no art. 30 desta lei, o Poder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Legislativo poderá encaminhar projetos de lei e deliberar sobre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projetos de resolução, conforme o caso, visando 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concessão e absorção de vantagens e aumento de remuneração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servidores do Poder Legislativo;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criação e extinção de cargos públicos do Poder Legislativo;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criação, extinção e alteração da estrutura de carreiras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do Poder Legislativo;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IV - provimento de cargos e contratações estritamente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necessárias, respeitada a legislação municipal vigente do Poder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Legislativo;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 - revisão do sistema de pessoal, particularmente 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plano de cargos, carreiras e salários, objetivando a melhoria 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qualidade do serviço público por meio de políticas de valorização,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desenvolvimento profissional e melhoria das condições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trabalho do servidor público do Poder Legislativo;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 - instituição de incentivos à demissão voluntária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servidores do Poder Legislativo.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1º Fica dispensada do encaminhamento de projeto de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 concessão de vantagens já previstas na legislação.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2º A criação ou ampliação de cargos deverá ser precedida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demonstração do atendimento aos requisitos da Lei Complementar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Federal nº 101, de 2000.</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33. Na hipótese de ser atingido o limite prudencial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que trata o art. 22 da Lei Complementar Federal nº 101,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2000, a convocação para prestação de horas suplementares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trabalho somente poderá ocorrer nos casos de calamidade pública,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na execução de programas emergenciais de saúde pública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ou em situações de extrema gravidade, devidamente reconhecida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pela Chefia do Poder Executivo Municipal.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34. Observado o disposto nos arts. 7º e 8º da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Federal nº 12.527, de 18 de novembro de 2011, os Poderes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Executivo e Legislativo, neste considerados a Câmara Municipal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São Paulo e o Tribunal de Contas do Município de São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Paulo, disponibilizarão e manterão mensalmente atualizada,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nos respectivos sítios na internet, no portal Transparência ou</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equivalente, preferencialmente no link destinado à divulgação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informações sobre recursos humanos, em formato de dados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abertos, tabela com remuneração ou subsídio recebidos,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maneira individualizada, por detentores de mandato eletivo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ocupantes de cargo ou função, incluindo auxílios, ajudas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custo, e quaisquer outras vantagens pecuniárias.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CAPÍTULO VII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DAS ORIENTAÇÕES RELATIVAS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À EXECUÇÃO ORÇAMENTÁRIA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35. Na realização das ações de sua competência, 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Município poderá transferir recursos a instituições privadas sem</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fins lucrativos, desde que compatíveis com os programas constantes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lei orçamentária anual, mediante convênio, ajuste ou</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congênere, pelo qual fiquem claramente definidos os deveres 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obrigações de cada parte, a forma e os prazos para prestação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contas.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36. Fica vedada a realização, pelo Poder Executivo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Municipal, de quaisquer despesas decorrentes de convênios,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contratos de gestão e termos de parceria celebrados com</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entidades sem fins lucrativos que deixarem de prestar contas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periodicamente na forma prevista pelo instrumento em</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questão à Secretaria Municipal responsável, com informações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detalhadas sobre a utilização de recursos públicos municipais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para pagamento de funcionários, contratos e convênios, com 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respectivos comprovantes.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1º As entidades de que trata este artigo abrangem 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Organizações Sociais – OSs, Organizações da Sociedade Civil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Interesse Público – OSCIPs e demais associações civis e organizações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assemelhadas.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2º As informações relativas à celebração de convênios,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contratos de gestão e termos de parceria serão publicadas no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Portal da Prefeitura do Município de São Paulo na internet.</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3º As propostas de celebração ou renovação de contrato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gestão, convênio ou termo de parceria, bem como suas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prestações de contas, deverão ser colocadas à disposição dos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conselhos gestores locais ou do conselho municipal, quando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for o caso.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37.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Parágrafo único.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38. Para fins de controle dos convênios, contratos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gestão e termos de parceria com as Organizações Sociais – OSs,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Organizações da Sociedade Civil de Interesse Público – OSCIPs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demais associações civis e organizações assemelhadas, o Poder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Executivo criará códigos de “itens de despesa” ou “subitens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despesa” no sistema de execução orçamentária referentes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aos repasses para as entidades, indicando a destinação dos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recursos na seguinte conformidade: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aluguéis de imóveis, edificados ou não;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obras e reformas em imóvel da Organização Social;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obras e reformas em imóvel de terceiros;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IV - obras e reformas em imóvel da Prefeitura;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 - material permanente;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 - material de consumo;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VII - remuneração de pessoal;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VIII - outras despesas.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1º A classificação da despesa orçamentária, contendo 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códigos e descrição do “item de despesa”, constará dos relatórios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referentes a empenhos e será incorporada, junto com 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observação do empenho, aos relatórios e bases de dados sobre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 tema no Sistema de Orçamento e Finanças – SOF ou outro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sistema que venha substituí-lo.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2º Sem prejuízo do disposto no “caput” e § 1º deste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artigo, o Poder Executivo publicará, mensalmente, relatório para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cada Organização Social, em sítio da internet, com as informações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execução orçamentária com, no mínimo: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número do empenho;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destinação detalhada dos recursos;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valor da liquidação no mês;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IV -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3º As informações de que trata este artigo, juntamente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com as demais que compõem a despesa pública, serão disponibilizadas,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mensalmente, em base de dados em formato aberto.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39. Fica o Poder Executivo autorizado a contribuir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para o custeio de despesas de competência de outros entes 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Federação, inclusive instituições públicas vinculadas à União,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ao Estado ou a outro Município, desde que compatíveis com</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os programas constantes da lei orçamentária anual, mediante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convênio, ajuste ou congênere.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40.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1º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2º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3º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41. No caso da ocorrência de despesas resultantes 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criação, expansão ou aperfeiçoamento de ações governamentais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que demandem alterações orçamentárias, aplicam-se 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disposições do art. 16 da Lei Complementar Federal nº 101,</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2000.</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Parágrafo único. Para fins do disposto no § 3º do art. 16 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Lei Complementar Federal nº 101, de 2000, são consideradas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como irrelevantes as despesas de valor de até R$ 8.000,00 (oito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mil reais), no caso de aquisição de bens e serviços, e de até 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15.000,00 (quinze mil reais), no caso de realização de obras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públicas ou serviços de engenharia.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42. Até 30 (trinta) dias após a publicação da lei orçamentária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anual, o Executivo deverá fixar a programação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financeira e o cronograma de execução de desembolso, com</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 objetivo de compatibilizar a realização de despesas com 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efetivo ingresso das receitas municipais.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1º Nos termos do que dispõe o parágrafo único do art.</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8º da Lei Complementar Federal nº 101, de 2000, os recursos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legalmente vinculados a finalidades específicas serão utilizados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apenas para atender ao objeto de sua vinculação, ainda que em</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exercício diverso daquele em que ocorrer o respectivo ingresso.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2º Créditos orçamentários de fontes vinculadas que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durante a execução do orçamento sejam considerados prescindíveis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poderão ser anulados com a finalidade de servir à</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abertura de créditos adicionais, nos termos do art. 43, § 1º, III,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Lei Federal nº 4.320, de 17 de março de 1964, respeitada 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regra do art. 8º, parágrafo único, da Lei Complementar nº 101,</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4 de maio de 2000.</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43. Em até 15 (quinze) dias após o encerramento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cada trimestre, o Poder Executivo publicará relatório sobre 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execução de emendas parlamentares, contendo, no mínimo, 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seguintes informações: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Vereador autor;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objeto;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órgão executor;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IV - valor em reais;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V - data da liberação dos recursos e/ou publicação de eventual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decreto com o respectivo número.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44. Se verificado, ao final de um bimestre, que 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realização da receita poderá não comportar o cumprimento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das metas de resultado primário ou nominal estabelecidas no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Anexo de Metas Fiscais desta lei, deverá ser promovida a limitação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 empenho e movimentação financeira nos 30 (trinta)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dias subsequentes.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1º No caso da ocorrência da previsão contida no “caput”</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deste artigo, fica o Poder Executivo autorizado a contingenciar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 orçamento, conforme os critérios a seguir: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 - serão respeitados os percentuais mínimos de aplicação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recursos vinculados, conforme a legislação federal e municipal;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 - serão priorizados recursos para execução de contrapartidas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referentes às transferências de receitas de outras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Unidades da Federação.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 2º Os compromissos assumidos sem a devida cobertura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orçamentária e em desrespeito ao art. 60 da Lei Federal nº</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4.320, de 1964, são considerados irregulares e de responsabilidade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do respectivo ordenador de despesas, sem prejuízo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das consequências de ordem civil, administrativa e penal, em</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especial quanto ao disposto no art. 10, inciso IX, da Lei Federal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nº 8.429, de 2 de junho de 1992, nos arts. 15, 16 e 17 da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Complementar Federal nº 101, de 2000, e no art. 359-D 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Decreto-Lei Federal nº 2.848, de 7 de dezembro de 1940 – Código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Penal Brasileiro.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45. Verificado eventual saldo de dotação orçamentária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Câmara Municipal de São Paulo e Tribunal de Contas 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Município de São Paulo que não será utilizado, poderão ser oferecidos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tais recursos, definindo especificamente sua destinação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apenas para áreas sociais ou ao atendimento das demandas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apontadas nas reuniões realizadas na Câmara no Seu Bairro,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se ocorrerem, como fonte para abertura de créditos adicionais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pelo Poder Executivo.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46.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CAPÍTULO VIII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DAS DISPOSIÇÕES GERAIS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47. Em atendimento ao disposto no art. 4º, inciso I, alínea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da Lei Complementar Federal nº 101, de 2000, o Poder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Executivo desenvolverá um sistema integrado, incorporando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todas as Atas de Registro de Preço, o qual estará disponível na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página oficial da Prefeitura na internet, com vistas à melhor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gestão de custos da Administração Pública Municipal.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48. Cabe ao ordenador da despesa o cumprimento das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disposições contidas nos arts. 16 e 17 da Lei Complementar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Federal nº 101, de 2000.</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49. Se a lei orçamentária não for votada até o último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dia do exercício de 2017, aplicar-se-á o disposto no art. 140 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Lei Orgânica do Município de São Paulo.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Parágrafo único. Caso a lei orçamentária tenha sido votada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 não publicada, aplicar-se-á o disposto no “caput” deste artigo.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50. As emendas ao projeto de lei orçamentária obedecerão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ao disposto no art. 166, § 3º, da Constituição Federal, no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138, § 2º, da Lei Orgânica do Município de São Paulo e em</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regulamento da Comissão de que trata o art. 138, § 1º, também</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Lei Orgânica do Município de São Paulo.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Parágrafo único. As emendas parlamentares apresentadas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deverão ter valor igual ou superior a R$ 30.000,00 (trinta mil</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reais), não podendo conter mais do que uma 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51. Para o ano de 2017, a meta fiscal de Resultado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Primário e de Resultado Nominal, que compõe o Demonstrativo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III – Metas Fiscais Atuais Comparadas com as Fixadas nos Três</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Exercícios Anteriores do Anexo II – Metas Fiscais, prevalece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sobre a meta fixada pela Lei nº 16.529, de 26 de julho de 2016.</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Art. 52. Fica o Poder Executivo autorizado a encaminhar,</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no prazo de 120 (cento e vinte) dias contados do prazo de publicação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da lei orçamentária de 2018, projeto de lei propondo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readequação dos recursos orçamentários, inclusive ajustando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prioridades e ações à luz do Programa de Metas.</w:t>
      </w:r>
    </w:p>
    <w:p w:rsidR="0048324D" w:rsidRPr="003A0D34" w:rsidRDefault="0048324D" w:rsidP="0048324D">
      <w:pPr>
        <w:autoSpaceDE w:val="0"/>
        <w:autoSpaceDN w:val="0"/>
        <w:adjustRightInd w:val="0"/>
        <w:spacing w:after="0" w:line="240" w:lineRule="auto"/>
        <w:rPr>
          <w:rFonts w:ascii="Verdana" w:hAnsi="Verdana" w:cs="Frutiger-Cn"/>
          <w:lang w:val="en-US"/>
        </w:rPr>
      </w:pPr>
      <w:r w:rsidRPr="003A0D34">
        <w:rPr>
          <w:rFonts w:ascii="Verdana" w:hAnsi="Verdana" w:cs="Frutiger-Cn"/>
          <w:lang w:val="en-US"/>
        </w:rPr>
        <w:t>Art. 53. (VETADO)</w:t>
      </w:r>
    </w:p>
    <w:p w:rsidR="0048324D" w:rsidRPr="003A0D34" w:rsidRDefault="0048324D" w:rsidP="0048324D">
      <w:pPr>
        <w:autoSpaceDE w:val="0"/>
        <w:autoSpaceDN w:val="0"/>
        <w:adjustRightInd w:val="0"/>
        <w:spacing w:after="0" w:line="240" w:lineRule="auto"/>
        <w:rPr>
          <w:rFonts w:ascii="Verdana" w:hAnsi="Verdana" w:cs="Frutiger-Cn"/>
          <w:lang w:val="en-US"/>
        </w:rPr>
      </w:pPr>
      <w:r w:rsidRPr="003A0D34">
        <w:rPr>
          <w:rFonts w:ascii="Verdana" w:hAnsi="Verdana" w:cs="Frutiger-Cn"/>
          <w:lang w:val="en-US"/>
        </w:rPr>
        <w:t>Art. 54. (VETADO)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lang w:val="en-US"/>
        </w:rPr>
        <w:t xml:space="preserve">Art. 55. </w:t>
      </w:r>
      <w:r w:rsidRPr="003A0D34">
        <w:rPr>
          <w:rFonts w:ascii="Verdana" w:hAnsi="Verdana" w:cs="Frutiger-Cn"/>
        </w:rPr>
        <w:t>Esta lei entrará em vigor na data de sua publicação,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retroagindo a 1º de janeiro de 2017 os efeitos do disposto no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seu art. 51.</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PREFEITURA DO MUNICÍPIO DE SÃO PAULO, aos 31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julho de 2017, 464º da fundação de São Paulo.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JOÃO DORIA, PREFEITO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ANDERSON POMINI, Secretário Municipal de Justiça</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JULIO FRANCISCO SEMEGHINI NETO, Secretário do Governo</w:t>
      </w:r>
      <w:r w:rsidR="003A0D34">
        <w:rPr>
          <w:rFonts w:ascii="Verdana" w:hAnsi="Verdana" w:cs="Frutiger-Cn"/>
        </w:rPr>
        <w:t xml:space="preserve"> </w:t>
      </w:r>
      <w:r w:rsidRPr="003A0D34">
        <w:rPr>
          <w:rFonts w:ascii="Verdana" w:hAnsi="Verdana" w:cs="Frutiger-Cn"/>
        </w:rPr>
        <w:t>Municipal</w:t>
      </w:r>
    </w:p>
    <w:p w:rsidR="0048324D"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Publicada na Secretaria do Governo Municipal, em 31 de</w:t>
      </w:r>
      <w:r w:rsidR="003A0D34">
        <w:rPr>
          <w:rFonts w:ascii="Verdana" w:hAnsi="Verdana" w:cs="Frutiger-Cn"/>
        </w:rPr>
        <w:t xml:space="preserve"> </w:t>
      </w:r>
      <w:r w:rsidRPr="003A0D34">
        <w:rPr>
          <w:rFonts w:ascii="Verdana" w:hAnsi="Verdana" w:cs="Frutiger-Cn"/>
        </w:rPr>
        <w:t>julho de 2017.</w:t>
      </w:r>
    </w:p>
    <w:p w:rsidR="003A0D34" w:rsidRPr="003A0D34" w:rsidRDefault="003A0D34" w:rsidP="0048324D">
      <w:pPr>
        <w:autoSpaceDE w:val="0"/>
        <w:autoSpaceDN w:val="0"/>
        <w:adjustRightInd w:val="0"/>
        <w:spacing w:after="0" w:line="240" w:lineRule="auto"/>
        <w:rPr>
          <w:rFonts w:ascii="Verdana" w:hAnsi="Verdana" w:cs="Frutiger-Cn"/>
        </w:rPr>
      </w:pPr>
    </w:p>
    <w:p w:rsidR="0048324D" w:rsidRPr="003A0D34" w:rsidRDefault="0048324D" w:rsidP="0048324D">
      <w:pPr>
        <w:autoSpaceDE w:val="0"/>
        <w:autoSpaceDN w:val="0"/>
        <w:adjustRightInd w:val="0"/>
        <w:spacing w:after="0" w:line="240" w:lineRule="auto"/>
        <w:rPr>
          <w:rFonts w:ascii="Verdana" w:hAnsi="Verdana"/>
          <w:b/>
        </w:rPr>
      </w:pPr>
      <w:r w:rsidRPr="003A0D34">
        <w:rPr>
          <w:rFonts w:ascii="Verdana" w:hAnsi="Verdana"/>
          <w:b/>
          <w:noProof/>
          <w:lang w:eastAsia="pt-BR"/>
        </w:rPr>
        <w:drawing>
          <wp:inline distT="0" distB="0" distL="0" distR="0" wp14:anchorId="77C6268F" wp14:editId="07C22B5F">
            <wp:extent cx="5400040" cy="474421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4744218"/>
                    </a:xfrm>
                    <a:prstGeom prst="rect">
                      <a:avLst/>
                    </a:prstGeom>
                    <a:noFill/>
                    <a:ln>
                      <a:noFill/>
                    </a:ln>
                  </pic:spPr>
                </pic:pic>
              </a:graphicData>
            </a:graphic>
          </wp:inline>
        </w:drawing>
      </w:r>
    </w:p>
    <w:p w:rsidR="0048324D" w:rsidRPr="003A0D34" w:rsidRDefault="0048324D" w:rsidP="0048324D">
      <w:pPr>
        <w:autoSpaceDE w:val="0"/>
        <w:autoSpaceDN w:val="0"/>
        <w:adjustRightInd w:val="0"/>
        <w:spacing w:after="0" w:line="240" w:lineRule="auto"/>
        <w:rPr>
          <w:rFonts w:ascii="Verdana" w:hAnsi="Verdana"/>
          <w:b/>
        </w:rPr>
      </w:pPr>
      <w:r w:rsidRPr="003A0D34">
        <w:rPr>
          <w:rFonts w:ascii="Verdana" w:hAnsi="Verdana"/>
          <w:b/>
          <w:noProof/>
          <w:lang w:eastAsia="pt-BR"/>
        </w:rPr>
        <w:drawing>
          <wp:inline distT="0" distB="0" distL="0" distR="0" wp14:anchorId="2F9C1CD6" wp14:editId="130AF92A">
            <wp:extent cx="5400040" cy="3933808"/>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933808"/>
                    </a:xfrm>
                    <a:prstGeom prst="rect">
                      <a:avLst/>
                    </a:prstGeom>
                    <a:noFill/>
                    <a:ln>
                      <a:noFill/>
                    </a:ln>
                  </pic:spPr>
                </pic:pic>
              </a:graphicData>
            </a:graphic>
          </wp:inline>
        </w:drawing>
      </w:r>
    </w:p>
    <w:p w:rsidR="004C49FB" w:rsidRPr="003A0D34" w:rsidRDefault="004C49FB" w:rsidP="0048324D">
      <w:pPr>
        <w:autoSpaceDE w:val="0"/>
        <w:autoSpaceDN w:val="0"/>
        <w:adjustRightInd w:val="0"/>
        <w:spacing w:after="0" w:line="240" w:lineRule="auto"/>
        <w:rPr>
          <w:rFonts w:ascii="Verdana" w:hAnsi="Verdana"/>
          <w:b/>
        </w:rPr>
      </w:pPr>
      <w:r w:rsidRPr="003A0D34">
        <w:rPr>
          <w:rFonts w:ascii="Verdana" w:hAnsi="Verdana"/>
          <w:b/>
          <w:noProof/>
          <w:lang w:eastAsia="pt-BR"/>
        </w:rPr>
        <w:drawing>
          <wp:inline distT="0" distB="0" distL="0" distR="0" wp14:anchorId="1098E731" wp14:editId="54E9F287">
            <wp:extent cx="5400040" cy="2782928"/>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782928"/>
                    </a:xfrm>
                    <a:prstGeom prst="rect">
                      <a:avLst/>
                    </a:prstGeom>
                    <a:noFill/>
                    <a:ln>
                      <a:noFill/>
                    </a:ln>
                  </pic:spPr>
                </pic:pic>
              </a:graphicData>
            </a:graphic>
          </wp:inline>
        </w:drawing>
      </w:r>
    </w:p>
    <w:p w:rsidR="004C49FB" w:rsidRPr="003A0D34" w:rsidRDefault="004C49FB" w:rsidP="0048324D">
      <w:pPr>
        <w:autoSpaceDE w:val="0"/>
        <w:autoSpaceDN w:val="0"/>
        <w:adjustRightInd w:val="0"/>
        <w:spacing w:after="0" w:line="240" w:lineRule="auto"/>
        <w:rPr>
          <w:rFonts w:ascii="Verdana" w:hAnsi="Verdana"/>
          <w:b/>
        </w:rPr>
      </w:pPr>
    </w:p>
    <w:p w:rsidR="004C49FB" w:rsidRPr="003A0D34" w:rsidRDefault="004C49FB" w:rsidP="0048324D">
      <w:pPr>
        <w:autoSpaceDE w:val="0"/>
        <w:autoSpaceDN w:val="0"/>
        <w:adjustRightInd w:val="0"/>
        <w:spacing w:after="0" w:line="240" w:lineRule="auto"/>
        <w:rPr>
          <w:rFonts w:ascii="Verdana" w:hAnsi="Verdana"/>
          <w:b/>
        </w:rPr>
      </w:pPr>
      <w:r w:rsidRPr="003A0D34">
        <w:rPr>
          <w:rFonts w:ascii="Verdana" w:hAnsi="Verdana"/>
          <w:b/>
          <w:noProof/>
          <w:lang w:eastAsia="pt-BR"/>
        </w:rPr>
        <w:drawing>
          <wp:inline distT="0" distB="0" distL="0" distR="0" wp14:anchorId="5E62DF36" wp14:editId="121A077E">
            <wp:extent cx="5400040" cy="3408404"/>
            <wp:effectExtent l="0" t="0" r="0" b="190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408404"/>
                    </a:xfrm>
                    <a:prstGeom prst="rect">
                      <a:avLst/>
                    </a:prstGeom>
                    <a:noFill/>
                    <a:ln>
                      <a:noFill/>
                    </a:ln>
                  </pic:spPr>
                </pic:pic>
              </a:graphicData>
            </a:graphic>
          </wp:inline>
        </w:drawing>
      </w:r>
      <w:r w:rsidRPr="003A0D34">
        <w:rPr>
          <w:rFonts w:ascii="Verdana" w:hAnsi="Verdana"/>
          <w:b/>
          <w:noProof/>
          <w:lang w:eastAsia="pt-BR"/>
        </w:rPr>
        <w:drawing>
          <wp:inline distT="0" distB="0" distL="0" distR="0" wp14:anchorId="4BD7EDF7" wp14:editId="35D0FD64">
            <wp:extent cx="5400040" cy="3272442"/>
            <wp:effectExtent l="0" t="0" r="0" b="444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272442"/>
                    </a:xfrm>
                    <a:prstGeom prst="rect">
                      <a:avLst/>
                    </a:prstGeom>
                    <a:noFill/>
                    <a:ln>
                      <a:noFill/>
                    </a:ln>
                  </pic:spPr>
                </pic:pic>
              </a:graphicData>
            </a:graphic>
          </wp:inline>
        </w:drawing>
      </w:r>
      <w:r w:rsidRPr="003A0D34">
        <w:rPr>
          <w:rFonts w:ascii="Verdana" w:hAnsi="Verdana"/>
          <w:b/>
          <w:noProof/>
          <w:lang w:eastAsia="pt-BR"/>
        </w:rPr>
        <w:drawing>
          <wp:inline distT="0" distB="0" distL="0" distR="0" wp14:anchorId="60E5938E" wp14:editId="625A9EE7">
            <wp:extent cx="5400040" cy="3234046"/>
            <wp:effectExtent l="0" t="0" r="0" b="508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234046"/>
                    </a:xfrm>
                    <a:prstGeom prst="rect">
                      <a:avLst/>
                    </a:prstGeom>
                    <a:noFill/>
                    <a:ln>
                      <a:noFill/>
                    </a:ln>
                  </pic:spPr>
                </pic:pic>
              </a:graphicData>
            </a:graphic>
          </wp:inline>
        </w:drawing>
      </w:r>
    </w:p>
    <w:p w:rsidR="004C49FB" w:rsidRPr="003A0D34" w:rsidRDefault="004C49FB" w:rsidP="0048324D">
      <w:pPr>
        <w:autoSpaceDE w:val="0"/>
        <w:autoSpaceDN w:val="0"/>
        <w:adjustRightInd w:val="0"/>
        <w:spacing w:after="0" w:line="240" w:lineRule="auto"/>
        <w:rPr>
          <w:rFonts w:ascii="Verdana" w:hAnsi="Verdana"/>
          <w:b/>
        </w:rPr>
      </w:pPr>
      <w:r w:rsidRPr="003A0D34">
        <w:rPr>
          <w:rFonts w:ascii="Verdana" w:hAnsi="Verdana"/>
          <w:b/>
          <w:noProof/>
          <w:lang w:eastAsia="pt-BR"/>
        </w:rPr>
        <w:drawing>
          <wp:inline distT="0" distB="0" distL="0" distR="0" wp14:anchorId="67CC0A8F" wp14:editId="19BDED63">
            <wp:extent cx="5400040" cy="3061508"/>
            <wp:effectExtent l="0" t="0" r="0" b="571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061508"/>
                    </a:xfrm>
                    <a:prstGeom prst="rect">
                      <a:avLst/>
                    </a:prstGeom>
                    <a:noFill/>
                    <a:ln>
                      <a:noFill/>
                    </a:ln>
                  </pic:spPr>
                </pic:pic>
              </a:graphicData>
            </a:graphic>
          </wp:inline>
        </w:drawing>
      </w:r>
    </w:p>
    <w:p w:rsidR="0048324D" w:rsidRPr="003A0D34" w:rsidRDefault="004C49FB" w:rsidP="0048324D">
      <w:pPr>
        <w:autoSpaceDE w:val="0"/>
        <w:autoSpaceDN w:val="0"/>
        <w:adjustRightInd w:val="0"/>
        <w:spacing w:after="0" w:line="240" w:lineRule="auto"/>
        <w:rPr>
          <w:rFonts w:ascii="Verdana" w:hAnsi="Verdana"/>
          <w:b/>
        </w:rPr>
      </w:pPr>
      <w:r w:rsidRPr="003A0D34">
        <w:rPr>
          <w:rFonts w:ascii="Verdana" w:hAnsi="Verdana"/>
          <w:b/>
          <w:noProof/>
          <w:lang w:eastAsia="pt-BR"/>
        </w:rPr>
        <w:drawing>
          <wp:inline distT="0" distB="0" distL="0" distR="0" wp14:anchorId="7D55A646" wp14:editId="59D8D453">
            <wp:extent cx="5400040" cy="314437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144374"/>
                    </a:xfrm>
                    <a:prstGeom prst="rect">
                      <a:avLst/>
                    </a:prstGeom>
                    <a:noFill/>
                    <a:ln>
                      <a:noFill/>
                    </a:ln>
                  </pic:spPr>
                </pic:pic>
              </a:graphicData>
            </a:graphic>
          </wp:inline>
        </w:drawing>
      </w:r>
      <w:r w:rsidR="0048324D" w:rsidRPr="003A0D34">
        <w:rPr>
          <w:rFonts w:ascii="Verdana" w:hAnsi="Verdana"/>
          <w:b/>
          <w:noProof/>
          <w:lang w:eastAsia="pt-BR"/>
        </w:rPr>
        <w:drawing>
          <wp:inline distT="0" distB="0" distL="0" distR="0" wp14:anchorId="7F2BE441" wp14:editId="51E08753">
            <wp:extent cx="5400040" cy="4280312"/>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280312"/>
                    </a:xfrm>
                    <a:prstGeom prst="rect">
                      <a:avLst/>
                    </a:prstGeom>
                    <a:noFill/>
                    <a:ln>
                      <a:noFill/>
                    </a:ln>
                  </pic:spPr>
                </pic:pic>
              </a:graphicData>
            </a:graphic>
          </wp:inline>
        </w:drawing>
      </w:r>
    </w:p>
    <w:p w:rsidR="0048324D" w:rsidRPr="003A0D34" w:rsidRDefault="0048324D" w:rsidP="0048324D">
      <w:pPr>
        <w:autoSpaceDE w:val="0"/>
        <w:autoSpaceDN w:val="0"/>
        <w:adjustRightInd w:val="0"/>
        <w:spacing w:after="0" w:line="240" w:lineRule="auto"/>
        <w:rPr>
          <w:rFonts w:ascii="Verdana" w:hAnsi="Verdana"/>
          <w:b/>
        </w:rPr>
      </w:pPr>
      <w:r w:rsidRPr="003A0D34">
        <w:rPr>
          <w:rFonts w:ascii="Verdana" w:hAnsi="Verdana"/>
          <w:b/>
          <w:noProof/>
          <w:lang w:eastAsia="pt-BR"/>
        </w:rPr>
        <w:drawing>
          <wp:inline distT="0" distB="0" distL="0" distR="0" wp14:anchorId="7D48EA2F" wp14:editId="714CF9F1">
            <wp:extent cx="5400040" cy="4185740"/>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185740"/>
                    </a:xfrm>
                    <a:prstGeom prst="rect">
                      <a:avLst/>
                    </a:prstGeom>
                    <a:noFill/>
                    <a:ln>
                      <a:noFill/>
                    </a:ln>
                  </pic:spPr>
                </pic:pic>
              </a:graphicData>
            </a:graphic>
          </wp:inline>
        </w:drawing>
      </w:r>
    </w:p>
    <w:p w:rsidR="0048324D" w:rsidRPr="003A0D34" w:rsidRDefault="0048324D" w:rsidP="0048324D">
      <w:pPr>
        <w:autoSpaceDE w:val="0"/>
        <w:autoSpaceDN w:val="0"/>
        <w:adjustRightInd w:val="0"/>
        <w:spacing w:after="0" w:line="240" w:lineRule="auto"/>
        <w:rPr>
          <w:rFonts w:ascii="Verdana" w:hAnsi="Verdana"/>
          <w:b/>
        </w:rPr>
      </w:pPr>
      <w:r w:rsidRPr="003A0D34">
        <w:rPr>
          <w:rFonts w:ascii="Verdana" w:hAnsi="Verdana"/>
          <w:b/>
          <w:noProof/>
          <w:lang w:eastAsia="pt-BR"/>
        </w:rPr>
        <w:drawing>
          <wp:inline distT="0" distB="0" distL="0" distR="0" wp14:anchorId="1FF36B70" wp14:editId="586D638E">
            <wp:extent cx="5400040" cy="426833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268333"/>
                    </a:xfrm>
                    <a:prstGeom prst="rect">
                      <a:avLst/>
                    </a:prstGeom>
                    <a:noFill/>
                    <a:ln>
                      <a:noFill/>
                    </a:ln>
                  </pic:spPr>
                </pic:pic>
              </a:graphicData>
            </a:graphic>
          </wp:inline>
        </w:drawing>
      </w:r>
    </w:p>
    <w:p w:rsidR="0048324D" w:rsidRPr="003A0D34" w:rsidRDefault="0048324D" w:rsidP="0048324D">
      <w:pPr>
        <w:autoSpaceDE w:val="0"/>
        <w:autoSpaceDN w:val="0"/>
        <w:adjustRightInd w:val="0"/>
        <w:spacing w:after="0" w:line="240" w:lineRule="auto"/>
        <w:rPr>
          <w:rFonts w:ascii="Verdana" w:hAnsi="Verdana"/>
          <w:b/>
        </w:rPr>
      </w:pPr>
      <w:r w:rsidRPr="003A0D34">
        <w:rPr>
          <w:rFonts w:ascii="Verdana" w:hAnsi="Verdana"/>
          <w:b/>
          <w:noProof/>
          <w:lang w:eastAsia="pt-BR"/>
        </w:rPr>
        <w:drawing>
          <wp:inline distT="0" distB="0" distL="0" distR="0" wp14:anchorId="0C89EA35" wp14:editId="21EABB30">
            <wp:extent cx="5400040" cy="4185740"/>
            <wp:effectExtent l="0" t="0" r="0"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4185740"/>
                    </a:xfrm>
                    <a:prstGeom prst="rect">
                      <a:avLst/>
                    </a:prstGeom>
                    <a:noFill/>
                    <a:ln>
                      <a:noFill/>
                    </a:ln>
                  </pic:spPr>
                </pic:pic>
              </a:graphicData>
            </a:graphic>
          </wp:inline>
        </w:drawing>
      </w:r>
    </w:p>
    <w:p w:rsidR="0048324D" w:rsidRPr="003A0D34" w:rsidRDefault="0048324D" w:rsidP="0048324D">
      <w:pPr>
        <w:autoSpaceDE w:val="0"/>
        <w:autoSpaceDN w:val="0"/>
        <w:adjustRightInd w:val="0"/>
        <w:spacing w:after="0" w:line="240" w:lineRule="auto"/>
        <w:rPr>
          <w:rFonts w:ascii="Verdana" w:hAnsi="Verdana"/>
          <w:b/>
        </w:rPr>
      </w:pPr>
      <w:r w:rsidRPr="003A0D34">
        <w:rPr>
          <w:rFonts w:ascii="Verdana" w:hAnsi="Verdana"/>
          <w:b/>
          <w:noProof/>
          <w:lang w:eastAsia="pt-BR"/>
        </w:rPr>
        <w:drawing>
          <wp:inline distT="0" distB="0" distL="0" distR="0" wp14:anchorId="06871C9D" wp14:editId="0861561B">
            <wp:extent cx="5400040" cy="373590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735904"/>
                    </a:xfrm>
                    <a:prstGeom prst="rect">
                      <a:avLst/>
                    </a:prstGeom>
                    <a:noFill/>
                    <a:ln>
                      <a:noFill/>
                    </a:ln>
                  </pic:spPr>
                </pic:pic>
              </a:graphicData>
            </a:graphic>
          </wp:inline>
        </w:drawing>
      </w:r>
    </w:p>
    <w:p w:rsidR="0048324D" w:rsidRPr="003A0D34" w:rsidRDefault="0048324D" w:rsidP="0048324D">
      <w:pPr>
        <w:autoSpaceDE w:val="0"/>
        <w:autoSpaceDN w:val="0"/>
        <w:adjustRightInd w:val="0"/>
        <w:spacing w:after="0" w:line="240" w:lineRule="auto"/>
        <w:rPr>
          <w:rFonts w:ascii="Verdana" w:hAnsi="Verdana"/>
          <w:b/>
        </w:rPr>
      </w:pPr>
      <w:r w:rsidRPr="003A0D34">
        <w:rPr>
          <w:rFonts w:ascii="Verdana" w:hAnsi="Verdana"/>
          <w:b/>
          <w:noProof/>
          <w:lang w:eastAsia="pt-BR"/>
        </w:rPr>
        <w:drawing>
          <wp:inline distT="0" distB="0" distL="0" distR="0" wp14:anchorId="67DAF7C0" wp14:editId="565F76D6">
            <wp:extent cx="5400040" cy="322148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221483"/>
                    </a:xfrm>
                    <a:prstGeom prst="rect">
                      <a:avLst/>
                    </a:prstGeom>
                    <a:noFill/>
                    <a:ln>
                      <a:noFill/>
                    </a:ln>
                  </pic:spPr>
                </pic:pic>
              </a:graphicData>
            </a:graphic>
          </wp:inline>
        </w:drawing>
      </w:r>
    </w:p>
    <w:p w:rsidR="0048324D" w:rsidRPr="003A0D34" w:rsidRDefault="0048324D" w:rsidP="0048324D">
      <w:pPr>
        <w:autoSpaceDE w:val="0"/>
        <w:autoSpaceDN w:val="0"/>
        <w:adjustRightInd w:val="0"/>
        <w:spacing w:after="0" w:line="240" w:lineRule="auto"/>
        <w:rPr>
          <w:rFonts w:ascii="Verdana" w:hAnsi="Verdana" w:cs="CIDFont+F5"/>
        </w:rPr>
      </w:pPr>
      <w:r w:rsidRPr="003A0D34">
        <w:rPr>
          <w:rFonts w:ascii="Verdana" w:hAnsi="Verdana" w:cs="CIDFont+F2"/>
        </w:rPr>
        <w:t xml:space="preserve">Nota Explicativa: </w:t>
      </w:r>
      <w:r w:rsidRPr="003A0D34">
        <w:rPr>
          <w:rFonts w:ascii="Verdana" w:hAnsi="Verdana" w:cs="CIDFont+F5"/>
        </w:rPr>
        <w:t>no presente quadro, estão contempladas somente as entregas ou etapas previstas para 2018 que acarretam impacto</w:t>
      </w:r>
    </w:p>
    <w:p w:rsidR="0048324D" w:rsidRPr="003A0D34" w:rsidRDefault="0048324D" w:rsidP="0048324D">
      <w:pPr>
        <w:autoSpaceDE w:val="0"/>
        <w:autoSpaceDN w:val="0"/>
        <w:adjustRightInd w:val="0"/>
        <w:spacing w:after="0" w:line="240" w:lineRule="auto"/>
        <w:rPr>
          <w:rFonts w:ascii="Verdana" w:hAnsi="Verdana" w:cs="CIDFont+F5"/>
        </w:rPr>
      </w:pPr>
      <w:r w:rsidRPr="003A0D34">
        <w:rPr>
          <w:rFonts w:ascii="Verdana" w:hAnsi="Verdana" w:cs="CIDFont+F5"/>
        </w:rPr>
        <w:t>orçamentário. Assim, por exemplo, as entregas realizadas por meio de doações, mesmo com previsão no Programa de Metas, não são exibidas</w:t>
      </w:r>
    </w:p>
    <w:p w:rsidR="0048324D" w:rsidRPr="003A0D34" w:rsidRDefault="0048324D" w:rsidP="0048324D">
      <w:pPr>
        <w:autoSpaceDE w:val="0"/>
        <w:autoSpaceDN w:val="0"/>
        <w:adjustRightInd w:val="0"/>
        <w:spacing w:after="0" w:line="240" w:lineRule="auto"/>
        <w:rPr>
          <w:rFonts w:ascii="Verdana" w:hAnsi="Verdana" w:cs="CIDFont+F5"/>
        </w:rPr>
      </w:pPr>
      <w:r w:rsidRPr="003A0D34">
        <w:rPr>
          <w:rFonts w:ascii="Verdana" w:hAnsi="Verdana" w:cs="CIDFont+F5"/>
        </w:rPr>
        <w:t>acima.</w:t>
      </w:r>
    </w:p>
    <w:p w:rsidR="0048324D" w:rsidRPr="003A0D34" w:rsidRDefault="0048324D" w:rsidP="0048324D">
      <w:pPr>
        <w:autoSpaceDE w:val="0"/>
        <w:autoSpaceDN w:val="0"/>
        <w:adjustRightInd w:val="0"/>
        <w:spacing w:after="0" w:line="240" w:lineRule="auto"/>
        <w:rPr>
          <w:rFonts w:ascii="Verdana" w:hAnsi="Verdana"/>
          <w:b/>
        </w:rPr>
      </w:pPr>
      <w:r w:rsidRPr="003A0D34">
        <w:rPr>
          <w:rFonts w:ascii="Verdana" w:hAnsi="Verdana"/>
          <w:b/>
          <w:noProof/>
          <w:lang w:eastAsia="pt-BR"/>
        </w:rPr>
        <w:drawing>
          <wp:inline distT="0" distB="0" distL="0" distR="0" wp14:anchorId="6360668A" wp14:editId="044A9A8C">
            <wp:extent cx="5400040" cy="326587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265874"/>
                    </a:xfrm>
                    <a:prstGeom prst="rect">
                      <a:avLst/>
                    </a:prstGeom>
                    <a:noFill/>
                    <a:ln>
                      <a:noFill/>
                    </a:ln>
                  </pic:spPr>
                </pic:pic>
              </a:graphicData>
            </a:graphic>
          </wp:inline>
        </w:drawing>
      </w:r>
    </w:p>
    <w:p w:rsidR="0048324D" w:rsidRPr="003A0D34" w:rsidRDefault="0048324D" w:rsidP="0048324D">
      <w:pPr>
        <w:autoSpaceDE w:val="0"/>
        <w:autoSpaceDN w:val="0"/>
        <w:adjustRightInd w:val="0"/>
        <w:spacing w:after="0" w:line="240" w:lineRule="auto"/>
        <w:rPr>
          <w:rFonts w:ascii="Verdana" w:hAnsi="Verdana"/>
          <w:b/>
        </w:rPr>
      </w:pPr>
      <w:r w:rsidRPr="003A0D34">
        <w:rPr>
          <w:rFonts w:ascii="Verdana" w:hAnsi="Verdana"/>
          <w:b/>
          <w:noProof/>
          <w:lang w:eastAsia="pt-BR"/>
        </w:rPr>
        <w:drawing>
          <wp:inline distT="0" distB="0" distL="0" distR="0" wp14:anchorId="4236CDD5" wp14:editId="4B833F7E">
            <wp:extent cx="5400040" cy="379673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796736"/>
                    </a:xfrm>
                    <a:prstGeom prst="rect">
                      <a:avLst/>
                    </a:prstGeom>
                    <a:noFill/>
                    <a:ln>
                      <a:noFill/>
                    </a:ln>
                  </pic:spPr>
                </pic:pic>
              </a:graphicData>
            </a:graphic>
          </wp:inline>
        </w:drawing>
      </w:r>
    </w:p>
    <w:p w:rsidR="0048324D" w:rsidRPr="003A0D34" w:rsidRDefault="0048324D" w:rsidP="0048324D">
      <w:pPr>
        <w:autoSpaceDE w:val="0"/>
        <w:autoSpaceDN w:val="0"/>
        <w:adjustRightInd w:val="0"/>
        <w:spacing w:after="0" w:line="240" w:lineRule="auto"/>
        <w:rPr>
          <w:rFonts w:ascii="Verdana" w:hAnsi="Verdana"/>
          <w:b/>
        </w:rPr>
      </w:pPr>
      <w:r w:rsidRPr="003A0D34">
        <w:rPr>
          <w:rFonts w:ascii="Verdana" w:hAnsi="Verdana"/>
          <w:b/>
          <w:noProof/>
          <w:lang w:eastAsia="pt-BR"/>
        </w:rPr>
        <w:drawing>
          <wp:inline distT="0" distB="0" distL="0" distR="0" wp14:anchorId="78928623" wp14:editId="2830EFB1">
            <wp:extent cx="5400040" cy="221567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215670"/>
                    </a:xfrm>
                    <a:prstGeom prst="rect">
                      <a:avLst/>
                    </a:prstGeom>
                    <a:noFill/>
                    <a:ln>
                      <a:noFill/>
                    </a:ln>
                  </pic:spPr>
                </pic:pic>
              </a:graphicData>
            </a:graphic>
          </wp:inline>
        </w:drawing>
      </w:r>
    </w:p>
    <w:p w:rsidR="004C49FB" w:rsidRPr="003A0D34" w:rsidRDefault="004C49FB" w:rsidP="0048324D">
      <w:pPr>
        <w:autoSpaceDE w:val="0"/>
        <w:autoSpaceDN w:val="0"/>
        <w:adjustRightInd w:val="0"/>
        <w:spacing w:after="0" w:line="240" w:lineRule="auto"/>
        <w:rPr>
          <w:rFonts w:ascii="Verdana" w:hAnsi="Verdana"/>
          <w:b/>
        </w:rPr>
      </w:pPr>
      <w:r w:rsidRPr="003A0D34">
        <w:rPr>
          <w:rFonts w:ascii="Verdana" w:hAnsi="Verdana"/>
          <w:b/>
          <w:noProof/>
          <w:lang w:eastAsia="pt-BR"/>
        </w:rPr>
        <w:drawing>
          <wp:inline distT="0" distB="0" distL="0" distR="0" wp14:anchorId="1BF20BD8" wp14:editId="2FBD27F3">
            <wp:extent cx="5400040" cy="3328894"/>
            <wp:effectExtent l="0" t="0" r="0" b="508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328894"/>
                    </a:xfrm>
                    <a:prstGeom prst="rect">
                      <a:avLst/>
                    </a:prstGeom>
                    <a:noFill/>
                    <a:ln>
                      <a:noFill/>
                    </a:ln>
                  </pic:spPr>
                </pic:pic>
              </a:graphicData>
            </a:graphic>
          </wp:inline>
        </w:drawing>
      </w:r>
    </w:p>
    <w:p w:rsidR="004C49FB" w:rsidRPr="003A0D34" w:rsidRDefault="004C49FB" w:rsidP="0048324D">
      <w:pPr>
        <w:autoSpaceDE w:val="0"/>
        <w:autoSpaceDN w:val="0"/>
        <w:adjustRightInd w:val="0"/>
        <w:spacing w:after="0" w:line="240" w:lineRule="auto"/>
        <w:rPr>
          <w:rFonts w:ascii="Verdana" w:hAnsi="Verdana"/>
          <w:b/>
        </w:rPr>
      </w:pPr>
      <w:r w:rsidRPr="003A0D34">
        <w:rPr>
          <w:rFonts w:ascii="Verdana" w:hAnsi="Verdana"/>
          <w:b/>
          <w:noProof/>
          <w:lang w:eastAsia="pt-BR"/>
        </w:rPr>
        <w:drawing>
          <wp:inline distT="0" distB="0" distL="0" distR="0" wp14:anchorId="3E15CE94" wp14:editId="65A2C88C">
            <wp:extent cx="5400040" cy="3973269"/>
            <wp:effectExtent l="0" t="0" r="0" b="825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973269"/>
                    </a:xfrm>
                    <a:prstGeom prst="rect">
                      <a:avLst/>
                    </a:prstGeom>
                    <a:noFill/>
                    <a:ln>
                      <a:noFill/>
                    </a:ln>
                  </pic:spPr>
                </pic:pic>
              </a:graphicData>
            </a:graphic>
          </wp:inline>
        </w:drawing>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FONTE: Secretaria Municipal da Fazenda</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Notas:</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1) Para o cálculo das "Aplicações Financeiras" foram deduzidos os valores relativos as Receitas de Serviços Financeiros.</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2EFA60BB" wp14:editId="565DADCA">
            <wp:extent cx="5400040" cy="4170452"/>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4170452"/>
                    </a:xfrm>
                    <a:prstGeom prst="rect">
                      <a:avLst/>
                    </a:prstGeom>
                    <a:noFill/>
                    <a:ln>
                      <a:noFill/>
                    </a:ln>
                  </pic:spPr>
                </pic:pic>
              </a:graphicData>
            </a:graphic>
          </wp:inline>
        </w:drawing>
      </w:r>
    </w:p>
    <w:p w:rsidR="003A0D34" w:rsidRDefault="003A0D34" w:rsidP="004C49FB">
      <w:pPr>
        <w:autoSpaceDE w:val="0"/>
        <w:autoSpaceDN w:val="0"/>
        <w:adjustRightInd w:val="0"/>
        <w:spacing w:after="0" w:line="240" w:lineRule="auto"/>
        <w:rPr>
          <w:rFonts w:ascii="Verdana" w:hAnsi="Verdana" w:cs="CIDFont+F2"/>
          <w:b/>
        </w:rPr>
      </w:pPr>
    </w:p>
    <w:p w:rsidR="004C49FB" w:rsidRPr="003A0D34" w:rsidRDefault="004C49FB" w:rsidP="004C49FB">
      <w:pPr>
        <w:autoSpaceDE w:val="0"/>
        <w:autoSpaceDN w:val="0"/>
        <w:adjustRightInd w:val="0"/>
        <w:spacing w:after="0" w:line="240" w:lineRule="auto"/>
        <w:rPr>
          <w:rFonts w:ascii="Verdana" w:hAnsi="Verdana" w:cs="CIDFont+F2"/>
          <w:b/>
        </w:rPr>
      </w:pPr>
      <w:r w:rsidRPr="003A0D34">
        <w:rPr>
          <w:rFonts w:ascii="Verdana" w:hAnsi="Verdana" w:cs="CIDFont+F2"/>
          <w:b/>
        </w:rPr>
        <w:t>MEMÓRIA E METODOLOGIA DE CÁLCULO DAS METAS ANUAIS DE</w:t>
      </w:r>
    </w:p>
    <w:p w:rsidR="004C49FB" w:rsidRPr="003A0D34" w:rsidRDefault="004C49FB" w:rsidP="004C49FB">
      <w:pPr>
        <w:autoSpaceDE w:val="0"/>
        <w:autoSpaceDN w:val="0"/>
        <w:adjustRightInd w:val="0"/>
        <w:spacing w:after="0" w:line="240" w:lineRule="auto"/>
        <w:rPr>
          <w:rFonts w:ascii="Verdana" w:hAnsi="Verdana" w:cs="CIDFont+F2"/>
          <w:b/>
        </w:rPr>
      </w:pPr>
      <w:r w:rsidRPr="003A0D34">
        <w:rPr>
          <w:rFonts w:ascii="Verdana" w:hAnsi="Verdana" w:cs="CIDFont+F2"/>
          <w:b/>
        </w:rPr>
        <w:t>RECEITAS</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Art. 4º, §1º da Lei Complementar nº 101, de 04/05/2000.</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As receitas para os exercícios de 2018 a 2020 foram estimadas considerando-se o</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comportamento histórico da arrecadação municipal, a conjuntura macroeconômica do país,</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estado e município, e também as ações, em curso e futuras, que geram e gerarão receita.</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Além disso, foram adotadas premissas, elaboradas com base em projeções</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econômicas, estabelecidas por meio de indicadores econômicos divulgados oficialmente, nas</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variáveis que possam comprometer o desempenho de cada fonte de receita e os benefícios de</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natureza tributária, tais como anistias, subsídios, créditos presumidos e isenções.</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A tabela a seguir resume os principais indicadores econômicos utilizados na</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elaboração da Lei de Diretrizes Orçamentárias para 2018.</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Os valores que constituem o cenário adotado basearam-se em dados do Banco Central</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do Brasil, divulgados no Relatório de Mercados Focus Séries.</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76F25B10" wp14:editId="4A9C5AA4">
            <wp:extent cx="5400040" cy="4842003"/>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4842003"/>
                    </a:xfrm>
                    <a:prstGeom prst="rect">
                      <a:avLst/>
                    </a:prstGeom>
                    <a:noFill/>
                    <a:ln>
                      <a:noFill/>
                    </a:ln>
                  </pic:spPr>
                </pic:pic>
              </a:graphicData>
            </a:graphic>
          </wp:inline>
        </w:drawing>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Os critérios adotados para a projeção das receitas no período 2018 a 2020 são</w:t>
      </w:r>
      <w:r w:rsidR="003A0D34">
        <w:rPr>
          <w:rFonts w:ascii="Verdana" w:hAnsi="Verdana" w:cs="CIDFont+F5"/>
        </w:rPr>
        <w:t xml:space="preserve"> </w:t>
      </w:r>
      <w:r w:rsidRPr="003A0D34">
        <w:rPr>
          <w:rFonts w:ascii="Verdana" w:hAnsi="Verdana" w:cs="CIDFont+F5"/>
        </w:rPr>
        <w:t>apresentados a seguir, considerando as principais categorias de receitas.</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Receita Tributária: abrange as receitas do Imposto sobre Propriedade Territorial</w:t>
      </w:r>
      <w:r w:rsidR="003A0D34">
        <w:rPr>
          <w:rFonts w:ascii="Verdana" w:hAnsi="Verdana" w:cs="CIDFont+F5"/>
        </w:rPr>
        <w:t xml:space="preserve"> </w:t>
      </w:r>
      <w:r w:rsidRPr="003A0D34">
        <w:rPr>
          <w:rFonts w:ascii="Verdana" w:hAnsi="Verdana" w:cs="CIDFont+F5"/>
        </w:rPr>
        <w:t>Predial e Urbana - IPTU, Imposto Sobre Serviços - ISS, Imposto Sobre a Transmissão de Bens Imóveis - ITBI e Imposto de Renda Retido na Fonte - IRRF, das taxas pelo poder de polícia e pela prestação de serviços de competência do Município.</w:t>
      </w:r>
    </w:p>
    <w:p w:rsidR="004C49FB" w:rsidRPr="003A0D34" w:rsidRDefault="004C49FB" w:rsidP="004C49FB">
      <w:pPr>
        <w:pStyle w:val="PargrafodaLista"/>
        <w:numPr>
          <w:ilvl w:val="0"/>
          <w:numId w:val="2"/>
        </w:numPr>
        <w:autoSpaceDE w:val="0"/>
        <w:autoSpaceDN w:val="0"/>
        <w:adjustRightInd w:val="0"/>
        <w:spacing w:after="0" w:line="240" w:lineRule="auto"/>
        <w:rPr>
          <w:rFonts w:ascii="Verdana" w:hAnsi="Verdana" w:cs="CIDFont+F5"/>
        </w:rPr>
      </w:pPr>
      <w:r w:rsidRPr="003A0D34">
        <w:rPr>
          <w:rFonts w:ascii="Verdana" w:hAnsi="Verdana" w:cs="CIDFont+F5"/>
        </w:rPr>
        <w:t>IPTU Receita estimada em função do total lançado em 2017, conjuntamente com fatores específicos aplicáveis ao IPTU: taxa de expansão do cadastro de contribuintes, inadimplência e proporção de pagamentos à vista (considerando nestes casos desconto de 4%).</w:t>
      </w:r>
    </w:p>
    <w:p w:rsidR="004C49FB" w:rsidRPr="003A0D34" w:rsidRDefault="004C49FB" w:rsidP="004C49FB">
      <w:pPr>
        <w:pStyle w:val="PargrafodaLista"/>
        <w:numPr>
          <w:ilvl w:val="0"/>
          <w:numId w:val="2"/>
        </w:numPr>
        <w:autoSpaceDE w:val="0"/>
        <w:autoSpaceDN w:val="0"/>
        <w:adjustRightInd w:val="0"/>
        <w:spacing w:after="0" w:line="240" w:lineRule="auto"/>
        <w:rPr>
          <w:rFonts w:ascii="Verdana" w:hAnsi="Verdana" w:cs="CIDFont+F5"/>
        </w:rPr>
      </w:pPr>
      <w:r w:rsidRPr="003A0D34">
        <w:rPr>
          <w:rFonts w:ascii="Verdana" w:hAnsi="Verdana" w:cs="CIDFont+F5"/>
        </w:rPr>
        <w:t>ISS imposto correlacionado com o nível da atividade econômica, tem a projeção de receita obtida a partir da taxa de crescimento do Produto Interno Bruto de Serviços e da taxa de inflação dos exercícios correntes, divulgada pelo Banco Central.</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ITBI Receita estimada mediante a projeção da variação do PIB em conjunto com a inflação de cada ano.</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Taxas a estimativa deste grupo de receitas considerou o crescimento econômico</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medido pelo Produto Interno Bruto Total em conjunto com a variação da inflação do IPCA.</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Receita de Contribuições compreende as receitas provenientes da contribuição do</w:t>
      </w:r>
      <w:r w:rsidR="003A0D34">
        <w:rPr>
          <w:rFonts w:ascii="Verdana" w:hAnsi="Verdana" w:cs="CIDFont+F5"/>
        </w:rPr>
        <w:t xml:space="preserve"> </w:t>
      </w:r>
      <w:r w:rsidRPr="003A0D34">
        <w:rPr>
          <w:rFonts w:ascii="Verdana" w:hAnsi="Verdana" w:cs="CIDFont+F5"/>
        </w:rPr>
        <w:t>servidor destinadas à manutenção do seu regime de previdência, que foram estimadas de acordo com a projeção da folha de pagamentos e as receitas oriundas da Contribuição para o Custeio do Serviço de Iluminação Pública COSIP, que foram estimadas considerando o crescimento vegetativo e a projeção da inflação respectivamente.</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Receitas Patrimoniais o principal componente deste grupo é a receita de aplicações</w:t>
      </w:r>
      <w:r w:rsidR="003A0D34">
        <w:rPr>
          <w:rFonts w:ascii="Verdana" w:hAnsi="Verdana" w:cs="CIDFont+F5"/>
        </w:rPr>
        <w:t xml:space="preserve"> </w:t>
      </w:r>
      <w:r w:rsidRPr="003A0D34">
        <w:rPr>
          <w:rFonts w:ascii="Verdana" w:hAnsi="Verdana" w:cs="CIDFont+F5"/>
        </w:rPr>
        <w:t>financeiras. Para sua projeção foi considerado o saldo médio de contas, o fluxo de caixa e a taxa média de juros de curto prazo (Selic) estimados para os próximos anos.</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Receita de Serviços abrange as receitas provenientes da prestação de serviços de</w:t>
      </w:r>
      <w:r w:rsidR="003A0D34">
        <w:rPr>
          <w:rFonts w:ascii="Verdana" w:hAnsi="Verdana" w:cs="CIDFont+F5"/>
        </w:rPr>
        <w:t xml:space="preserve"> </w:t>
      </w:r>
      <w:r w:rsidRPr="003A0D34">
        <w:rPr>
          <w:rFonts w:ascii="Verdana" w:hAnsi="Verdana" w:cs="CIDFont+F5"/>
        </w:rPr>
        <w:t>saúde e a receita de serviços administrativos, cujas projeções levaram em conta o nível de atividade econômica e a inflação.</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Transferências Correntes Compreendem os recursos de natureza constitucional,</w:t>
      </w:r>
      <w:r w:rsidR="003A0D34">
        <w:rPr>
          <w:rFonts w:ascii="Verdana" w:hAnsi="Verdana" w:cs="CIDFont+F5"/>
        </w:rPr>
        <w:t xml:space="preserve"> </w:t>
      </w:r>
      <w:r w:rsidRPr="003A0D34">
        <w:rPr>
          <w:rFonts w:ascii="Verdana" w:hAnsi="Verdana" w:cs="CIDFont+F5"/>
        </w:rPr>
        <w:t>legal ou voluntária, transferidos ao Município, provenientes do Estado, da União, dos</w:t>
      </w:r>
      <w:r w:rsidR="003A0D34">
        <w:rPr>
          <w:rFonts w:ascii="Verdana" w:hAnsi="Verdana" w:cs="CIDFont+F5"/>
        </w:rPr>
        <w:t xml:space="preserve"> </w:t>
      </w:r>
      <w:r w:rsidRPr="003A0D34">
        <w:rPr>
          <w:rFonts w:ascii="Verdana" w:hAnsi="Verdana" w:cs="CIDFont+F5"/>
        </w:rPr>
        <w:t>convênios firmados com o Poder Público ou iniciativa privada, além das transferências</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intergovernamentais e do FUNDEB. Destacam-se neste grupo:</w:t>
      </w:r>
    </w:p>
    <w:p w:rsidR="004C49FB" w:rsidRPr="003A0D34" w:rsidRDefault="004C49FB" w:rsidP="004C49FB">
      <w:pPr>
        <w:pStyle w:val="PargrafodaLista"/>
        <w:numPr>
          <w:ilvl w:val="0"/>
          <w:numId w:val="3"/>
        </w:numPr>
        <w:autoSpaceDE w:val="0"/>
        <w:autoSpaceDN w:val="0"/>
        <w:adjustRightInd w:val="0"/>
        <w:spacing w:after="0" w:line="240" w:lineRule="auto"/>
        <w:rPr>
          <w:rFonts w:ascii="Verdana" w:hAnsi="Verdana" w:cs="CIDFont+F5"/>
        </w:rPr>
      </w:pPr>
      <w:r w:rsidRPr="003A0D34">
        <w:rPr>
          <w:rFonts w:ascii="Verdana" w:hAnsi="Verdana" w:cs="CIDFont+F5"/>
        </w:rPr>
        <w:t>FPM estimada em função da arrecadação histórica, fazendo-se uso de modelagem estatística em conjunto com a projeção dos principais impostos que compõem a sua base de cálculo.</w:t>
      </w:r>
    </w:p>
    <w:p w:rsidR="004C49FB" w:rsidRPr="003A0D34" w:rsidRDefault="004C49FB" w:rsidP="004C49FB">
      <w:pPr>
        <w:pStyle w:val="PargrafodaLista"/>
        <w:numPr>
          <w:ilvl w:val="0"/>
          <w:numId w:val="3"/>
        </w:numPr>
        <w:autoSpaceDE w:val="0"/>
        <w:autoSpaceDN w:val="0"/>
        <w:adjustRightInd w:val="0"/>
        <w:spacing w:after="0" w:line="240" w:lineRule="auto"/>
        <w:rPr>
          <w:rFonts w:ascii="Verdana" w:hAnsi="Verdana" w:cs="CIDFont+F5"/>
        </w:rPr>
      </w:pPr>
      <w:r w:rsidRPr="003A0D34">
        <w:rPr>
          <w:rFonts w:ascii="Verdana" w:hAnsi="Verdana" w:cs="CIDFont+F5"/>
        </w:rPr>
        <w:t>ICMS imposto fortemente afetado pela atividade econômica, tem como parâmetros para previsão de receita o nível de crescimento econômico medido pelo Produto Interno Bruto Total e a variação da inflação.</w:t>
      </w:r>
    </w:p>
    <w:p w:rsidR="004C49FB" w:rsidRPr="003A0D34" w:rsidRDefault="004C49FB" w:rsidP="004C49FB">
      <w:pPr>
        <w:pStyle w:val="PargrafodaLista"/>
        <w:numPr>
          <w:ilvl w:val="0"/>
          <w:numId w:val="3"/>
        </w:numPr>
        <w:autoSpaceDE w:val="0"/>
        <w:autoSpaceDN w:val="0"/>
        <w:adjustRightInd w:val="0"/>
        <w:spacing w:after="0" w:line="240" w:lineRule="auto"/>
        <w:rPr>
          <w:rFonts w:ascii="Verdana" w:hAnsi="Verdana" w:cs="CIDFont+F5"/>
        </w:rPr>
      </w:pPr>
      <w:r w:rsidRPr="003A0D34">
        <w:rPr>
          <w:rFonts w:ascii="Verdana" w:hAnsi="Verdana" w:cs="CIDFont+F5"/>
        </w:rPr>
        <w:t>IPVA previsão de receita estimada em função do crescimento da frota, da variação de preço dos automóveis e do crescimento do número de veículos novos (produção industrial).</w:t>
      </w:r>
    </w:p>
    <w:p w:rsidR="004C49FB" w:rsidRPr="003A0D34" w:rsidRDefault="004C49FB" w:rsidP="004C49FB">
      <w:pPr>
        <w:pStyle w:val="PargrafodaLista"/>
        <w:numPr>
          <w:ilvl w:val="0"/>
          <w:numId w:val="3"/>
        </w:numPr>
        <w:autoSpaceDE w:val="0"/>
        <w:autoSpaceDN w:val="0"/>
        <w:adjustRightInd w:val="0"/>
        <w:spacing w:after="0" w:line="240" w:lineRule="auto"/>
        <w:rPr>
          <w:rFonts w:ascii="Verdana" w:hAnsi="Verdana" w:cs="CIDFont+F5"/>
        </w:rPr>
      </w:pPr>
      <w:r w:rsidRPr="003A0D34">
        <w:rPr>
          <w:rFonts w:ascii="Verdana" w:hAnsi="Verdana" w:cs="CIDFont+F5"/>
        </w:rPr>
        <w:t>FUNDEB a estimativa foi realizada com base em modelo estatístico, que utilizou a receita prevista para os impostos que compõem sua base (ICMS, IPVA e FPM). Essa previsão considerou, também, o histórico das receitas das receitas do ICMS, IPVA, FPM e suas projeções.</w:t>
      </w:r>
    </w:p>
    <w:p w:rsidR="004C49FB" w:rsidRPr="003A0D34" w:rsidRDefault="004C49FB" w:rsidP="004C49FB">
      <w:pPr>
        <w:pStyle w:val="PargrafodaLista"/>
        <w:numPr>
          <w:ilvl w:val="0"/>
          <w:numId w:val="3"/>
        </w:numPr>
        <w:autoSpaceDE w:val="0"/>
        <w:autoSpaceDN w:val="0"/>
        <w:adjustRightInd w:val="0"/>
        <w:spacing w:after="0" w:line="240" w:lineRule="auto"/>
        <w:rPr>
          <w:rFonts w:ascii="Verdana" w:hAnsi="Verdana" w:cs="CIDFont+F5"/>
        </w:rPr>
      </w:pPr>
      <w:r w:rsidRPr="003A0D34">
        <w:rPr>
          <w:rFonts w:ascii="Verdana" w:hAnsi="Verdana" w:cs="CIDFont+F5"/>
        </w:rPr>
        <w:t>Demais transferências receitas resultantes das expectativas de formalização de convênios ou daqueles já em andamento, informadas pelas Secretarias que os gerenciam.</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Outras Receitas Correntes as principais receitas deste grupo decorrem das multas</w:t>
      </w:r>
      <w:r w:rsidR="003A0D34">
        <w:rPr>
          <w:rFonts w:ascii="Verdana" w:hAnsi="Verdana" w:cs="CIDFont+F5"/>
        </w:rPr>
        <w:t xml:space="preserve"> </w:t>
      </w:r>
      <w:r w:rsidRPr="003A0D34">
        <w:rPr>
          <w:rFonts w:ascii="Verdana" w:hAnsi="Verdana" w:cs="CIDFont+F5"/>
        </w:rPr>
        <w:t>de trânsito, da dívida ativa e dos programas de parcelamento incentivado - PPI. O critério</w:t>
      </w:r>
      <w:r w:rsidR="003A0D34">
        <w:rPr>
          <w:rFonts w:ascii="Verdana" w:hAnsi="Verdana" w:cs="CIDFont+F5"/>
        </w:rPr>
        <w:t xml:space="preserve"> </w:t>
      </w:r>
      <w:r w:rsidRPr="003A0D34">
        <w:rPr>
          <w:rFonts w:ascii="Verdana" w:hAnsi="Verdana" w:cs="CIDFont+F5"/>
        </w:rPr>
        <w:t>adotado para a estimativa da receita de multas considerou a arrecadação histórica, fazendo se uso de modelagem estatística, dos valores estabelecidos na legislação e no tamanho da frota circulante no município.</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A Estimativa da dívida ativa foi elaborada em função da arrecadação do exercício e</w:t>
      </w:r>
      <w:r w:rsidR="003A0D34">
        <w:rPr>
          <w:rFonts w:ascii="Verdana" w:hAnsi="Verdana" w:cs="CIDFont+F5"/>
        </w:rPr>
        <w:t xml:space="preserve"> </w:t>
      </w:r>
      <w:r w:rsidRPr="003A0D34">
        <w:rPr>
          <w:rFonts w:ascii="Verdana" w:hAnsi="Verdana" w:cs="CIDFont+F5"/>
        </w:rPr>
        <w:t>do estoque da mesma. A estimativa do PPI foram levadas em conta as adesões já realizadas</w:t>
      </w:r>
      <w:r w:rsidR="003A0D34">
        <w:rPr>
          <w:rFonts w:ascii="Verdana" w:hAnsi="Verdana" w:cs="CIDFont+F5"/>
        </w:rPr>
        <w:t xml:space="preserve"> </w:t>
      </w:r>
      <w:r w:rsidRPr="003A0D34">
        <w:rPr>
          <w:rFonts w:ascii="Verdana" w:hAnsi="Verdana" w:cs="CIDFont+F5"/>
        </w:rPr>
        <w:t>ao programa e uma projeção de adesões ao PPI 2017.</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Operações de Crédito referem-se à necessidade de financiamentos.</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Alienação de ativos compreende ingressos de recursos provenientes de alienação de</w:t>
      </w:r>
      <w:r w:rsidR="003A0D34">
        <w:rPr>
          <w:rFonts w:ascii="Verdana" w:hAnsi="Verdana" w:cs="CIDFont+F5"/>
        </w:rPr>
        <w:t xml:space="preserve"> </w:t>
      </w:r>
      <w:r w:rsidRPr="003A0D34">
        <w:rPr>
          <w:rFonts w:ascii="Verdana" w:hAnsi="Verdana" w:cs="CIDFont+F5"/>
        </w:rPr>
        <w:t>bens móveis e imóveis do patrimônio municipal.</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Transferências de Capital transferências que têm por finalidade a constituição ou</w:t>
      </w:r>
      <w:r w:rsidR="003A0D34">
        <w:rPr>
          <w:rFonts w:ascii="Verdana" w:hAnsi="Verdana" w:cs="CIDFont+F5"/>
        </w:rPr>
        <w:t xml:space="preserve"> </w:t>
      </w:r>
      <w:r w:rsidRPr="003A0D34">
        <w:rPr>
          <w:rFonts w:ascii="Verdana" w:hAnsi="Verdana" w:cs="CIDFont+F5"/>
        </w:rPr>
        <w:t>aquisição de um bem de capital, substancialmente relativas a convênios celebrados e a</w:t>
      </w:r>
      <w:r w:rsidR="003A0D34">
        <w:rPr>
          <w:rFonts w:ascii="Verdana" w:hAnsi="Verdana" w:cs="CIDFont+F5"/>
        </w:rPr>
        <w:t xml:space="preserve"> </w:t>
      </w:r>
      <w:r w:rsidRPr="003A0D34">
        <w:rPr>
          <w:rFonts w:ascii="Verdana" w:hAnsi="Verdana" w:cs="CIDFont+F5"/>
        </w:rPr>
        <w:t>celebrar.</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Deduções da Receita para a Formação do FUNDEB representa a dedução legal de</w:t>
      </w:r>
      <w:r w:rsidR="003A0D34">
        <w:rPr>
          <w:rFonts w:ascii="Verdana" w:hAnsi="Verdana" w:cs="CIDFont+F5"/>
        </w:rPr>
        <w:t xml:space="preserve"> </w:t>
      </w:r>
      <w:r w:rsidRPr="003A0D34">
        <w:rPr>
          <w:rFonts w:ascii="Verdana" w:hAnsi="Verdana" w:cs="CIDFont+F5"/>
        </w:rPr>
        <w:t>20,0% das receitas das transferências de: FPM, ICMS, IPI sobre exportações e ICMS</w:t>
      </w:r>
      <w:r w:rsidR="003A0D34">
        <w:rPr>
          <w:rFonts w:ascii="Verdana" w:hAnsi="Verdana" w:cs="CIDFont+F5"/>
        </w:rPr>
        <w:t xml:space="preserve"> </w:t>
      </w:r>
      <w:r w:rsidRPr="003A0D34">
        <w:rPr>
          <w:rFonts w:ascii="Verdana" w:hAnsi="Verdana" w:cs="CIDFont+F5"/>
        </w:rPr>
        <w:t>desoneração (L.C. 87/96), bem como das transferências de ITR e IPVA.</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Renúncia de Receitas conforme determinado pela Lei Complementar nº 101/2000,</w:t>
      </w:r>
      <w:r w:rsidR="003A0D34">
        <w:rPr>
          <w:rFonts w:ascii="Verdana" w:hAnsi="Verdana" w:cs="CIDFont+F5"/>
        </w:rPr>
        <w:t xml:space="preserve"> </w:t>
      </w:r>
      <w:r w:rsidRPr="003A0D34">
        <w:rPr>
          <w:rFonts w:ascii="Verdana" w:hAnsi="Verdana" w:cs="CIDFont+F5"/>
        </w:rPr>
        <w:t>Lei da Responsabilidade Fiscal (LRF), artigo 4º, parágrafo 2º, inciso V em conjunto com o</w:t>
      </w:r>
      <w:r w:rsidR="003A0D34">
        <w:rPr>
          <w:rFonts w:ascii="Verdana" w:hAnsi="Verdana" w:cs="CIDFont+F5"/>
        </w:rPr>
        <w:t xml:space="preserve"> </w:t>
      </w:r>
      <w:r w:rsidRPr="003A0D34">
        <w:rPr>
          <w:rFonts w:ascii="Verdana" w:hAnsi="Verdana" w:cs="CIDFont+F5"/>
        </w:rPr>
        <w:t>artigo 14 da referida lei, as potenciais renúncias de receitas que não apresentam medidas</w:t>
      </w:r>
      <w:r w:rsidR="003A0D34">
        <w:rPr>
          <w:rFonts w:ascii="Verdana" w:hAnsi="Verdana" w:cs="CIDFont+F5"/>
        </w:rPr>
        <w:t xml:space="preserve"> </w:t>
      </w:r>
      <w:r w:rsidRPr="003A0D34">
        <w:rPr>
          <w:rFonts w:ascii="Verdana" w:hAnsi="Verdana" w:cs="CIDFont+F5"/>
        </w:rPr>
        <w:t>compensatórias para os exercícios abrangidos pela presente LDO têm seu impacto estimado</w:t>
      </w:r>
      <w:r w:rsidR="003A0D34">
        <w:rPr>
          <w:rFonts w:ascii="Verdana" w:hAnsi="Verdana" w:cs="CIDFont+F5"/>
        </w:rPr>
        <w:t xml:space="preserve"> </w:t>
      </w:r>
      <w:r w:rsidRPr="003A0D34">
        <w:rPr>
          <w:rFonts w:ascii="Verdana" w:hAnsi="Verdana" w:cs="CIDFont+F5"/>
        </w:rPr>
        <w:t>nas projeções de receitas, de forma a não afetar as metas de resultados fiscais previstas no</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anexo próprio da lei de diretrizes orçamentárias.</w:t>
      </w:r>
    </w:p>
    <w:p w:rsidR="004C49FB" w:rsidRPr="003A0D34" w:rsidRDefault="004C49FB" w:rsidP="004C49FB">
      <w:pPr>
        <w:autoSpaceDE w:val="0"/>
        <w:autoSpaceDN w:val="0"/>
        <w:adjustRightInd w:val="0"/>
        <w:spacing w:after="0" w:line="240" w:lineRule="auto"/>
        <w:rPr>
          <w:rFonts w:ascii="Verdana" w:hAnsi="Verdana" w:cs="CIDFont+F2"/>
        </w:rPr>
      </w:pPr>
    </w:p>
    <w:p w:rsidR="004C49FB" w:rsidRPr="003A0D34" w:rsidRDefault="004C49FB" w:rsidP="004C49FB">
      <w:pPr>
        <w:autoSpaceDE w:val="0"/>
        <w:autoSpaceDN w:val="0"/>
        <w:adjustRightInd w:val="0"/>
        <w:spacing w:after="0" w:line="240" w:lineRule="auto"/>
        <w:rPr>
          <w:rFonts w:ascii="Verdana" w:hAnsi="Verdana" w:cs="CIDFont+F2"/>
          <w:b/>
        </w:rPr>
      </w:pPr>
      <w:r w:rsidRPr="003A0D34">
        <w:rPr>
          <w:rFonts w:ascii="Verdana" w:hAnsi="Verdana" w:cs="CIDFont+F2"/>
          <w:b/>
        </w:rPr>
        <w:t>METODOLOGIA DE CÁLCULO DA DESPESA</w:t>
      </w:r>
    </w:p>
    <w:p w:rsidR="004C49FB" w:rsidRPr="003A0D34" w:rsidRDefault="004C49FB" w:rsidP="004C49FB">
      <w:pPr>
        <w:autoSpaceDE w:val="0"/>
        <w:autoSpaceDN w:val="0"/>
        <w:adjustRightInd w:val="0"/>
        <w:spacing w:after="0" w:line="240" w:lineRule="auto"/>
        <w:rPr>
          <w:rFonts w:ascii="Verdana" w:hAnsi="Verdana" w:cs="CIDFont+F5"/>
          <w:b/>
        </w:rPr>
      </w:pPr>
      <w:r w:rsidRPr="003A0D34">
        <w:rPr>
          <w:rFonts w:ascii="Verdana" w:hAnsi="Verdana" w:cs="CIDFont+F5"/>
          <w:b/>
        </w:rPr>
        <w:t>Art. 4º, §2º, inciso II da Lei Complementar nº 101 de 04/05/2000</w:t>
      </w:r>
    </w:p>
    <w:p w:rsidR="004C49FB" w:rsidRPr="003A0D34" w:rsidRDefault="004C49FB" w:rsidP="004C49FB">
      <w:pPr>
        <w:autoSpaceDE w:val="0"/>
        <w:autoSpaceDN w:val="0"/>
        <w:adjustRightInd w:val="0"/>
        <w:spacing w:after="0" w:line="240" w:lineRule="auto"/>
        <w:rPr>
          <w:rFonts w:ascii="Verdana" w:hAnsi="Verdana" w:cs="CIDFont+F5"/>
        </w:rPr>
      </w:pPr>
      <w:r w:rsidRPr="003A0D34">
        <w:rPr>
          <w:rFonts w:ascii="Verdana" w:hAnsi="Verdana" w:cs="CIDFont+F5"/>
        </w:rPr>
        <w:t>Para a projeção das despesas para o triênio 2018 2020 consideramos, inicialmente,</w:t>
      </w:r>
      <w:r w:rsidR="003A0D34">
        <w:rPr>
          <w:rFonts w:ascii="Verdana" w:hAnsi="Verdana" w:cs="CIDFont+F5"/>
        </w:rPr>
        <w:t xml:space="preserve"> </w:t>
      </w:r>
      <w:r w:rsidRPr="003A0D34">
        <w:rPr>
          <w:rFonts w:ascii="Verdana" w:hAnsi="Verdana" w:cs="CIDFont+F5"/>
        </w:rPr>
        <w:t>as despesas obrigatórias: pessoal e respectivos encargos sociais, o serviço da dívida pública e os precatórios e acrescentamos as despesas contratuais, que são base para o custeio dos serviços públicos disponíveis aos munícipes.</w:t>
      </w:r>
    </w:p>
    <w:p w:rsidR="004C49FB" w:rsidRPr="003A0D34" w:rsidRDefault="004C49FB" w:rsidP="004C49FB">
      <w:pPr>
        <w:pStyle w:val="PargrafodaLista"/>
        <w:numPr>
          <w:ilvl w:val="0"/>
          <w:numId w:val="4"/>
        </w:numPr>
        <w:autoSpaceDE w:val="0"/>
        <w:autoSpaceDN w:val="0"/>
        <w:adjustRightInd w:val="0"/>
        <w:spacing w:after="0" w:line="240" w:lineRule="auto"/>
        <w:rPr>
          <w:rFonts w:ascii="Verdana" w:hAnsi="Verdana" w:cs="CIDFont+F5"/>
        </w:rPr>
      </w:pPr>
      <w:r w:rsidRPr="003A0D34">
        <w:rPr>
          <w:rFonts w:ascii="Verdana" w:hAnsi="Verdana" w:cs="CIDFont+F5"/>
        </w:rPr>
        <w:t>A despesa de pessoal, que abrange os ativos e os inativos, é a maior despesa desta municipalidade e sua projeção corresponde, basicamente, à ampliação dos serviços oferecidos, principalmente para a Rede Municipal de Ensino e para as Ações e Serviços de Saúde.</w:t>
      </w:r>
    </w:p>
    <w:p w:rsidR="004C49FB" w:rsidRPr="003A0D34" w:rsidRDefault="004C49FB" w:rsidP="004C49FB">
      <w:pPr>
        <w:pStyle w:val="PargrafodaLista"/>
        <w:numPr>
          <w:ilvl w:val="0"/>
          <w:numId w:val="4"/>
        </w:numPr>
        <w:autoSpaceDE w:val="0"/>
        <w:autoSpaceDN w:val="0"/>
        <w:adjustRightInd w:val="0"/>
        <w:spacing w:after="0" w:line="240" w:lineRule="auto"/>
        <w:rPr>
          <w:rFonts w:ascii="Verdana" w:hAnsi="Verdana" w:cs="CIDFont+F5"/>
        </w:rPr>
      </w:pPr>
      <w:r w:rsidRPr="003A0D34">
        <w:rPr>
          <w:rFonts w:ascii="Verdana" w:hAnsi="Verdana" w:cs="CIDFont+F5"/>
        </w:rPr>
        <w:t>A despesa com a Dívida Pública foi projetada em acordo com as alterações decorrentes da renegociação da dívida do Município com a União Federal, firmada em 26 de fevereiro de 2016.</w:t>
      </w:r>
    </w:p>
    <w:p w:rsidR="00D72D5D" w:rsidRPr="003A0D34" w:rsidRDefault="004C49FB" w:rsidP="004C49FB">
      <w:pPr>
        <w:pStyle w:val="PargrafodaLista"/>
        <w:numPr>
          <w:ilvl w:val="0"/>
          <w:numId w:val="4"/>
        </w:numPr>
        <w:autoSpaceDE w:val="0"/>
        <w:autoSpaceDN w:val="0"/>
        <w:adjustRightInd w:val="0"/>
        <w:spacing w:after="0" w:line="240" w:lineRule="auto"/>
        <w:rPr>
          <w:rFonts w:ascii="Verdana" w:hAnsi="Verdana" w:cs="CIDFont+F5"/>
        </w:rPr>
      </w:pPr>
      <w:r w:rsidRPr="003A0D34">
        <w:rPr>
          <w:rFonts w:ascii="Verdana" w:hAnsi="Verdana" w:cs="CIDFont+F5"/>
        </w:rPr>
        <w:t>A despesa com precatórios foi projetada de acordo com as orientações da Secretaria Municipal dos Negócios Jurídicos/Procuradoria Geral do Município, considerando os parâmetros constitucionais até a Emenda Constitucional nº 94/16. Tal decisão foi tomada devido à promulgação da Emenda ter ocorrido recentemente, restando ainda dúvidas sobre os reais efeitos dessas medidas, seja por não haver como se confirmar se o mercado financeiro disponibilizará crédito para as entidades para esse fim e em que condições tais concessões ocorreriam, seja por já existir ADI levantando a discussão sobre a constitucionalidade do uso dos depósitos judiciais por parte da Fazenda Pública de processos em que não figure como parte (ADI 5072).</w:t>
      </w:r>
    </w:p>
    <w:p w:rsidR="00D72D5D" w:rsidRPr="003A0D34" w:rsidRDefault="004C49FB" w:rsidP="004C49FB">
      <w:pPr>
        <w:pStyle w:val="PargrafodaLista"/>
        <w:numPr>
          <w:ilvl w:val="0"/>
          <w:numId w:val="4"/>
        </w:numPr>
        <w:autoSpaceDE w:val="0"/>
        <w:autoSpaceDN w:val="0"/>
        <w:adjustRightInd w:val="0"/>
        <w:spacing w:after="0" w:line="240" w:lineRule="auto"/>
        <w:rPr>
          <w:rFonts w:ascii="Verdana" w:hAnsi="Verdana" w:cs="CIDFont+F5"/>
        </w:rPr>
      </w:pPr>
      <w:r w:rsidRPr="003A0D34">
        <w:rPr>
          <w:rFonts w:ascii="Verdana" w:hAnsi="Verdana" w:cs="CIDFont+F5"/>
        </w:rPr>
        <w:t>Para as outras despesas correntes, a projeção considera a manutenção das atividades, em especial, para os contratos de natureza continuada, com a expectativa de aumento da</w:t>
      </w:r>
      <w:r w:rsidR="00D72D5D" w:rsidRPr="003A0D34">
        <w:rPr>
          <w:rFonts w:ascii="Verdana" w:hAnsi="Verdana" w:cs="CIDFont+F5"/>
        </w:rPr>
        <w:t xml:space="preserve"> </w:t>
      </w:r>
      <w:r w:rsidRPr="003A0D34">
        <w:rPr>
          <w:rFonts w:ascii="Verdana" w:hAnsi="Verdana" w:cs="CIDFont+F5"/>
        </w:rPr>
        <w:t>eficiência no uso dos recursos com a continuidade das medidas de redução de custos de</w:t>
      </w:r>
      <w:r w:rsidR="00D72D5D" w:rsidRPr="003A0D34">
        <w:rPr>
          <w:rFonts w:ascii="Verdana" w:hAnsi="Verdana" w:cs="CIDFont+F5"/>
        </w:rPr>
        <w:t xml:space="preserve"> </w:t>
      </w:r>
      <w:r w:rsidRPr="003A0D34">
        <w:rPr>
          <w:rFonts w:ascii="Verdana" w:hAnsi="Verdana" w:cs="CIDFont+F5"/>
        </w:rPr>
        <w:t>serviços contratados, sobretudo com base no que estabelecem os Decretos Municipais nº</w:t>
      </w:r>
      <w:r w:rsidR="00D72D5D" w:rsidRPr="003A0D34">
        <w:rPr>
          <w:rFonts w:ascii="Verdana" w:hAnsi="Verdana" w:cs="CIDFont+F5"/>
        </w:rPr>
        <w:t xml:space="preserve"> </w:t>
      </w:r>
      <w:r w:rsidRPr="003A0D34">
        <w:rPr>
          <w:rFonts w:ascii="Verdana" w:hAnsi="Verdana" w:cs="CIDFont+F5"/>
        </w:rPr>
        <w:t>57.580/2017 e nº 57.640/17.</w:t>
      </w:r>
    </w:p>
    <w:p w:rsidR="004C49FB" w:rsidRPr="003A0D34" w:rsidRDefault="004C49FB" w:rsidP="004C49FB">
      <w:pPr>
        <w:pStyle w:val="PargrafodaLista"/>
        <w:numPr>
          <w:ilvl w:val="0"/>
          <w:numId w:val="3"/>
        </w:numPr>
        <w:autoSpaceDE w:val="0"/>
        <w:autoSpaceDN w:val="0"/>
        <w:adjustRightInd w:val="0"/>
        <w:spacing w:after="0" w:line="240" w:lineRule="auto"/>
        <w:rPr>
          <w:rFonts w:ascii="Verdana" w:hAnsi="Verdana" w:cs="CIDFont+F5"/>
        </w:rPr>
      </w:pPr>
      <w:r w:rsidRPr="003A0D34">
        <w:rPr>
          <w:rFonts w:ascii="Verdana" w:hAnsi="Verdana" w:cs="CIDFont+F5"/>
        </w:rPr>
        <w:t>Finalmente, as despesas com investimentos foram projetadas tendo como orientação</w:t>
      </w:r>
      <w:r w:rsidR="00D72D5D" w:rsidRPr="003A0D34">
        <w:rPr>
          <w:rFonts w:ascii="Verdana" w:hAnsi="Verdana" w:cs="CIDFont+F5"/>
        </w:rPr>
        <w:t xml:space="preserve"> </w:t>
      </w:r>
      <w:r w:rsidRPr="003A0D34">
        <w:rPr>
          <w:rFonts w:ascii="Verdana" w:hAnsi="Verdana" w:cs="CIDFont+F5"/>
        </w:rPr>
        <w:t>o contido na proposta de Programa de Metas 2017-2020, uma vez que, por conta de</w:t>
      </w:r>
      <w:r w:rsidR="00D72D5D" w:rsidRPr="003A0D34">
        <w:rPr>
          <w:rFonts w:ascii="Verdana" w:hAnsi="Verdana" w:cs="CIDFont+F5"/>
        </w:rPr>
        <w:t xml:space="preserve"> </w:t>
      </w:r>
      <w:r w:rsidRPr="003A0D34">
        <w:rPr>
          <w:rFonts w:ascii="Verdana" w:hAnsi="Verdana" w:cs="CIDFont+F5"/>
        </w:rPr>
        <w:t>calendário legal, no momento de elaboração da LDO 2018 não havia Plano Plurianual</w:t>
      </w:r>
      <w:r w:rsidR="00D72D5D" w:rsidRPr="003A0D34">
        <w:rPr>
          <w:rFonts w:ascii="Verdana" w:hAnsi="Verdana" w:cs="CIDFont+F5"/>
        </w:rPr>
        <w:t xml:space="preserve"> </w:t>
      </w:r>
      <w:r w:rsidRPr="003A0D34">
        <w:rPr>
          <w:rFonts w:ascii="Verdana" w:hAnsi="Verdana" w:cs="CIDFont+F5"/>
        </w:rPr>
        <w:t>defino para quadriênio 2018-2021.</w:t>
      </w:r>
    </w:p>
    <w:p w:rsidR="00D72D5D" w:rsidRPr="003A0D34" w:rsidRDefault="00D72D5D" w:rsidP="00D72D5D">
      <w:pPr>
        <w:autoSpaceDE w:val="0"/>
        <w:autoSpaceDN w:val="0"/>
        <w:adjustRightInd w:val="0"/>
        <w:spacing w:after="0" w:line="240" w:lineRule="auto"/>
        <w:rPr>
          <w:rFonts w:ascii="Verdana" w:hAnsi="Verdana" w:cs="CIDFont+F5"/>
        </w:rPr>
      </w:pPr>
    </w:p>
    <w:p w:rsidR="00D72D5D" w:rsidRPr="003A0D34" w:rsidRDefault="00D72D5D" w:rsidP="00D72D5D">
      <w:pPr>
        <w:autoSpaceDE w:val="0"/>
        <w:autoSpaceDN w:val="0"/>
        <w:adjustRightInd w:val="0"/>
        <w:spacing w:after="0" w:line="240" w:lineRule="auto"/>
        <w:rPr>
          <w:rFonts w:ascii="Verdana" w:hAnsi="Verdana" w:cs="CIDFont+F2"/>
          <w:b/>
        </w:rPr>
      </w:pPr>
      <w:r w:rsidRPr="003A0D34">
        <w:rPr>
          <w:rFonts w:ascii="Verdana" w:hAnsi="Verdana" w:cs="CIDFont+F2"/>
          <w:b/>
        </w:rPr>
        <w:t>MEMÓRIA E METODOLOGIA DE CÁLCULO DAS METAS ANUAIS DE</w:t>
      </w:r>
    </w:p>
    <w:p w:rsidR="00D72D5D" w:rsidRPr="003A0D34" w:rsidRDefault="00D72D5D" w:rsidP="00D72D5D">
      <w:pPr>
        <w:autoSpaceDE w:val="0"/>
        <w:autoSpaceDN w:val="0"/>
        <w:adjustRightInd w:val="0"/>
        <w:spacing w:after="0" w:line="240" w:lineRule="auto"/>
        <w:rPr>
          <w:rFonts w:ascii="Verdana" w:hAnsi="Verdana" w:cs="CIDFont+F2"/>
          <w:b/>
        </w:rPr>
      </w:pPr>
      <w:r w:rsidRPr="003A0D34">
        <w:rPr>
          <w:rFonts w:ascii="Verdana" w:hAnsi="Verdana" w:cs="CIDFont+F2"/>
          <w:b/>
        </w:rPr>
        <w:t>RESULTADO NOMINAL E MONTANTE DA DÍVIDA PÚBLICA</w:t>
      </w:r>
    </w:p>
    <w:p w:rsidR="00D72D5D" w:rsidRPr="003A0D34" w:rsidRDefault="00D72D5D" w:rsidP="00D72D5D">
      <w:pPr>
        <w:autoSpaceDE w:val="0"/>
        <w:autoSpaceDN w:val="0"/>
        <w:adjustRightInd w:val="0"/>
        <w:spacing w:after="0" w:line="240" w:lineRule="auto"/>
        <w:rPr>
          <w:rFonts w:ascii="Verdana" w:hAnsi="Verdana" w:cs="CIDFont+F5"/>
          <w:b/>
        </w:rPr>
      </w:pPr>
      <w:r w:rsidRPr="003A0D34">
        <w:rPr>
          <w:rFonts w:ascii="Verdana" w:hAnsi="Verdana" w:cs="CIDFont+F5"/>
          <w:b/>
        </w:rPr>
        <w:t>Art. 4º, § 1º da Lei Complementar nº 101, de 04/05/2000</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O saldo devedor da Dívida Pública foi projetado com base no fechamento do último</w:t>
      </w:r>
      <w:r w:rsidR="003A0D34">
        <w:rPr>
          <w:rFonts w:ascii="Verdana" w:hAnsi="Verdana" w:cs="CIDFont+F5"/>
        </w:rPr>
        <w:t xml:space="preserve"> </w:t>
      </w:r>
      <w:r w:rsidRPr="003A0D34">
        <w:rPr>
          <w:rFonts w:ascii="Verdana" w:hAnsi="Verdana" w:cs="CIDFont+F5"/>
        </w:rPr>
        <w:t>exercício, 31 de dezembro de 2016, seguindo a periodicidade e as condições dos pagamentos contratuais.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 Dívida Interna, parcela mais significativa do saldo devedor da Dívida Pública, foi</w:t>
      </w:r>
      <w:r w:rsidR="003A0D34">
        <w:rPr>
          <w:rFonts w:ascii="Verdana" w:hAnsi="Verdana" w:cs="CIDFont+F5"/>
        </w:rPr>
        <w:t xml:space="preserve"> </w:t>
      </w:r>
      <w:r w:rsidRPr="003A0D34">
        <w:rPr>
          <w:rFonts w:ascii="Verdana" w:hAnsi="Verdana" w:cs="CIDFont+F5"/>
        </w:rPr>
        <w:t>atualizada pelas estimativas de inflação captadas pelo Índice Nacional de Preços ao</w:t>
      </w:r>
      <w:r w:rsidR="003A0D34">
        <w:rPr>
          <w:rFonts w:ascii="Verdana" w:hAnsi="Verdana" w:cs="CIDFont+F5"/>
        </w:rPr>
        <w:t xml:space="preserve"> </w:t>
      </w:r>
      <w:r w:rsidRPr="003A0D34">
        <w:rPr>
          <w:rFonts w:ascii="Verdana" w:hAnsi="Verdana" w:cs="CIDFont+F5"/>
        </w:rPr>
        <w:t>Consumidor Amplo (IPCA), Índice geral de Preços do Mercado (IGP-M), da Fundação</w:t>
      </w:r>
      <w:r w:rsidR="003A0D34">
        <w:rPr>
          <w:rFonts w:ascii="Verdana" w:hAnsi="Verdana" w:cs="CIDFont+F5"/>
        </w:rPr>
        <w:t xml:space="preserve"> </w:t>
      </w:r>
      <w:r w:rsidRPr="003A0D34">
        <w:rPr>
          <w:rFonts w:ascii="Verdana" w:hAnsi="Verdana" w:cs="CIDFont+F5"/>
        </w:rPr>
        <w:t>Getúlio Vargas (FGV), Taxa Referencial de Juros (TR), Taxa de Juros de Longo Prazo, Taxa SELIC (Sistema Especial de Liquidação e Custódia) e pela variação do Dólar Americano.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Em complemento à Dívida Interna, a Dívida Externa, parcela menos significativa do saldo</w:t>
      </w:r>
      <w:r w:rsidR="003A0D34">
        <w:rPr>
          <w:rFonts w:ascii="Verdana" w:hAnsi="Verdana" w:cs="CIDFont+F5"/>
        </w:rPr>
        <w:t xml:space="preserve"> </w:t>
      </w:r>
      <w:r w:rsidRPr="003A0D34">
        <w:rPr>
          <w:rFonts w:ascii="Verdana" w:hAnsi="Verdana" w:cs="CIDFont+F5"/>
        </w:rPr>
        <w:t>devedor da Dívida Pública, sofre influência direta da variação cambial do Dólar Americano.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O saldo de Precatórios, após 05 de maio de 2000, foi projetado a partir do saldo</w:t>
      </w:r>
      <w:r w:rsidR="003A0D34">
        <w:rPr>
          <w:rFonts w:ascii="Verdana" w:hAnsi="Verdana" w:cs="CIDFont+F5"/>
        </w:rPr>
        <w:t xml:space="preserve"> </w:t>
      </w:r>
      <w:r w:rsidRPr="003A0D34">
        <w:rPr>
          <w:rFonts w:ascii="Verdana" w:hAnsi="Verdana" w:cs="CIDFont+F5"/>
        </w:rPr>
        <w:t>apurado em 31 de dezembro de 2016, de acordo com as orientações da Secretaria Municipal de Justiça/Procuradoria Geral do Município.</w:t>
      </w:r>
    </w:p>
    <w:p w:rsidR="00D72D5D" w:rsidRPr="003A0D34" w:rsidRDefault="00D72D5D" w:rsidP="00D72D5D">
      <w:pPr>
        <w:autoSpaceDE w:val="0"/>
        <w:autoSpaceDN w:val="0"/>
        <w:adjustRightInd w:val="0"/>
        <w:spacing w:after="0" w:line="240" w:lineRule="auto"/>
        <w:rPr>
          <w:rFonts w:ascii="Verdana" w:hAnsi="Verdana" w:cs="CIDFont+F5"/>
        </w:rPr>
      </w:pPr>
    </w:p>
    <w:p w:rsidR="00D72D5D" w:rsidRPr="003A0D34" w:rsidRDefault="00D72D5D" w:rsidP="00D72D5D">
      <w:pPr>
        <w:autoSpaceDE w:val="0"/>
        <w:autoSpaceDN w:val="0"/>
        <w:adjustRightInd w:val="0"/>
        <w:spacing w:after="0" w:line="240" w:lineRule="auto"/>
        <w:rPr>
          <w:rFonts w:ascii="Verdana" w:hAnsi="Verdana" w:cs="CIDFont+F2"/>
          <w:b/>
        </w:rPr>
      </w:pPr>
      <w:r w:rsidRPr="003A0D34">
        <w:rPr>
          <w:rFonts w:ascii="Verdana" w:hAnsi="Verdana" w:cs="CIDFont+F2"/>
          <w:b/>
        </w:rPr>
        <w:t>AVALIAÇÃO DO CUMPRIMENTO DAS METAS FISCAIS DO EXERCÍCIO</w:t>
      </w:r>
    </w:p>
    <w:p w:rsidR="00D72D5D" w:rsidRPr="003A0D34" w:rsidRDefault="00D72D5D" w:rsidP="00D72D5D">
      <w:pPr>
        <w:autoSpaceDE w:val="0"/>
        <w:autoSpaceDN w:val="0"/>
        <w:adjustRightInd w:val="0"/>
        <w:spacing w:after="0" w:line="240" w:lineRule="auto"/>
        <w:rPr>
          <w:rFonts w:ascii="Verdana" w:hAnsi="Verdana" w:cs="CIDFont+F2"/>
          <w:b/>
        </w:rPr>
      </w:pPr>
      <w:r w:rsidRPr="003A0D34">
        <w:rPr>
          <w:rFonts w:ascii="Verdana" w:hAnsi="Verdana" w:cs="CIDFont+F2"/>
          <w:b/>
        </w:rPr>
        <w:t>ANTERIOR</w:t>
      </w:r>
    </w:p>
    <w:p w:rsidR="00D72D5D" w:rsidRPr="003A0D34" w:rsidRDefault="00D72D5D" w:rsidP="00D72D5D">
      <w:pPr>
        <w:autoSpaceDE w:val="0"/>
        <w:autoSpaceDN w:val="0"/>
        <w:adjustRightInd w:val="0"/>
        <w:spacing w:after="0" w:line="240" w:lineRule="auto"/>
        <w:rPr>
          <w:rFonts w:ascii="Verdana" w:hAnsi="Verdana" w:cs="CIDFont+F5"/>
          <w:b/>
        </w:rPr>
      </w:pPr>
      <w:r w:rsidRPr="003A0D34">
        <w:rPr>
          <w:rFonts w:ascii="Verdana" w:hAnsi="Verdana" w:cs="CIDFont+F5"/>
          <w:b/>
        </w:rPr>
        <w:t>Art. 4°, § 2° da Lei Complementar n° 101, de 04/05/2000.</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As metas estabelecidas de Resultado Primário e Resultado Nominal foram cumpridas,</w:t>
      </w:r>
      <w:r w:rsidR="003A0D34">
        <w:rPr>
          <w:rFonts w:ascii="Verdana" w:hAnsi="Verdana" w:cs="CIDFont+F5"/>
        </w:rPr>
        <w:t xml:space="preserve"> </w:t>
      </w:r>
      <w:r w:rsidRPr="003A0D34">
        <w:rPr>
          <w:rFonts w:ascii="Verdana" w:hAnsi="Verdana" w:cs="CIDFont+F5"/>
        </w:rPr>
        <w:t>apesar de a Receita Total realizada no ano de 2016 ter ficado apenas 0,1% abaixo da estabelecida no quadro de metas Fiscais da Lei de Diretrizes Orçamentárias de 2017.</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 Receita Total é composta pelas Receitas Correntes e de Capital. Em 2016, sua</w:t>
      </w:r>
      <w:r w:rsidR="003A0D34">
        <w:rPr>
          <w:rFonts w:ascii="Verdana" w:hAnsi="Verdana" w:cs="CIDFont+F5"/>
        </w:rPr>
        <w:t xml:space="preserve"> </w:t>
      </w:r>
      <w:r w:rsidRPr="003A0D34">
        <w:rPr>
          <w:rFonts w:ascii="Verdana" w:hAnsi="Verdana" w:cs="CIDFont+F5"/>
        </w:rPr>
        <w:t>arrecadação foi de R$ 47,5 bilhões, apresentando queda de 1,2% em termos nominais em relação ao ano de 2015. Descontada a inflação do período, a receita total teve u</w:t>
      </w:r>
      <w:r w:rsidR="003A0D34">
        <w:rPr>
          <w:rFonts w:ascii="Verdana" w:hAnsi="Verdana" w:cs="CIDFont+F5"/>
        </w:rPr>
        <w:t xml:space="preserve">ma queda real de 7%. A queda na </w:t>
      </w:r>
      <w:r w:rsidRPr="003A0D34">
        <w:rPr>
          <w:rFonts w:ascii="Verdana" w:hAnsi="Verdana" w:cs="CIDFont+F5"/>
        </w:rPr>
        <w:t>arrecadação refletiu os efeitos da recessão econômica observada no país desde meados de 2014, considerando que o PIB verificado em 2016 foi de -3,6%.</w:t>
      </w:r>
    </w:p>
    <w:p w:rsidR="00D72D5D" w:rsidRPr="003A0D34" w:rsidRDefault="00D72D5D" w:rsidP="00D72D5D">
      <w:pPr>
        <w:autoSpaceDE w:val="0"/>
        <w:autoSpaceDN w:val="0"/>
        <w:adjustRightInd w:val="0"/>
        <w:spacing w:after="0" w:line="240" w:lineRule="auto"/>
        <w:rPr>
          <w:rFonts w:ascii="Verdana" w:hAnsi="Verdana" w:cs="CIDFont+F5"/>
        </w:rPr>
      </w:pPr>
    </w:p>
    <w:p w:rsidR="00D72D5D" w:rsidRPr="003A0D34" w:rsidRDefault="00D72D5D" w:rsidP="00D72D5D">
      <w:pPr>
        <w:autoSpaceDE w:val="0"/>
        <w:autoSpaceDN w:val="0"/>
        <w:adjustRightInd w:val="0"/>
        <w:spacing w:after="0" w:line="240" w:lineRule="auto"/>
        <w:rPr>
          <w:rFonts w:ascii="Verdana" w:hAnsi="Verdana" w:cs="CIDFont+F2"/>
          <w:b/>
        </w:rPr>
      </w:pPr>
      <w:r w:rsidRPr="003A0D34">
        <w:rPr>
          <w:rFonts w:ascii="Verdana" w:hAnsi="Verdana" w:cs="CIDFont+F2"/>
          <w:b/>
        </w:rPr>
        <w:t>RECEITAS CORRENTES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 Receita Corrente, composta pelas Receitas Tributárias, de Contribuições,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Patrimoniais, de Serviços, de Transferências Correntes e outras de natureza semelhante caíram nominalmente 1,4%. Essa retração deveu-se principalmente às quedas nominais observadas na Receita Patrimonial (-36,3%) e nas Outras Receitas Correntes (-29,7%).</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Em 2016, a Receita Tributária aumentou R$ 1.053 milhões - variação nominal de 4,7%</w:t>
      </w:r>
      <w:r w:rsidR="003A0D34">
        <w:rPr>
          <w:rFonts w:ascii="Verdana" w:hAnsi="Verdana" w:cs="CIDFont+F5"/>
        </w:rPr>
        <w:t xml:space="preserve"> </w:t>
      </w:r>
      <w:r w:rsidRPr="003A0D34">
        <w:rPr>
          <w:rFonts w:ascii="Verdana" w:hAnsi="Verdana" w:cs="CIDFont+F5"/>
        </w:rPr>
        <w:t>e real de -3,7% em relação a 2015. Essa Receita é composta pela arrecadação do Imposto sobre Propriedade Territorial Predial e Urbana - IPTU, Imposto Sobre Serviços de Qualquer Natureza - ISS, Imposto Sobre a Transmissão de Bens Imóveis ITBI, Imposto de Renda Retido na Fonte - IRRF e Taxas e foi responsável por 49,5% da Receita Total verificada nesse período.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O aumento nominal da receita com o IPTU foi 15,9% e o aumento real foi de 6,1%. O</w:t>
      </w:r>
      <w:r w:rsidR="003A0D34">
        <w:rPr>
          <w:rFonts w:ascii="Verdana" w:hAnsi="Verdana" w:cs="CIDFont+F5"/>
        </w:rPr>
        <w:t xml:space="preserve"> </w:t>
      </w:r>
      <w:r w:rsidRPr="003A0D34">
        <w:rPr>
          <w:rFonts w:ascii="Verdana" w:hAnsi="Verdana" w:cs="CIDFont+F5"/>
        </w:rPr>
        <w:t>ganho acima da inflação deveu-se principalmente às boas práticas internas - como as Forças</w:t>
      </w:r>
      <w:r w:rsidR="003A0D34">
        <w:rPr>
          <w:rFonts w:ascii="Verdana" w:hAnsi="Verdana" w:cs="CIDFont+F5"/>
        </w:rPr>
        <w:t xml:space="preserve"> </w:t>
      </w:r>
      <w:r w:rsidRPr="003A0D34">
        <w:rPr>
          <w:rFonts w:ascii="Verdana" w:hAnsi="Verdana" w:cs="CIDFont+F5"/>
        </w:rPr>
        <w:t>Tarefa estabelecidas com o objetivo de diminuir o estoque de processos.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 arrecadação do ISS em 2016 apresentou uma variação nominal de -1,7% sobre 2015.</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Desconsiderando o efeito dos Depósitos Judiciais contabilizados em 2015, a variação é de 1,3%.</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 arrecadação deste imposto tem estreita correlação com o PIB Serviços, que encerrou o ano de 2016 em -2,6%.</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Em 2016 o ITBI arrecadou R$ 1,75 bilhão, contra R$ 1,80 bilhão em 2015, queda de</w:t>
      </w:r>
      <w:r w:rsidR="003A0D34">
        <w:rPr>
          <w:rFonts w:ascii="Verdana" w:hAnsi="Verdana" w:cs="CIDFont+F5"/>
        </w:rPr>
        <w:t xml:space="preserve"> </w:t>
      </w:r>
      <w:r w:rsidRPr="003A0D34">
        <w:rPr>
          <w:rFonts w:ascii="Verdana" w:hAnsi="Verdana" w:cs="CIDFont+F5"/>
        </w:rPr>
        <w:t>2,3% nominal. Cabe observar que tal recuo é resultante de forte influência da base de</w:t>
      </w:r>
      <w:r w:rsidR="003A0D34">
        <w:rPr>
          <w:rFonts w:ascii="Verdana" w:hAnsi="Verdana" w:cs="CIDFont+F5"/>
        </w:rPr>
        <w:t xml:space="preserve"> </w:t>
      </w:r>
      <w:r w:rsidRPr="003A0D34">
        <w:rPr>
          <w:rFonts w:ascii="Verdana" w:hAnsi="Verdana" w:cs="CIDFont+F5"/>
        </w:rPr>
        <w:t>comparação elevada, pois houve no 1º trimestre de 2015, antes do aumento da alíquota, uma significativa antecipação de operações imobiliárias. Os valores observados sofreram grande impacto da crise no mercado imobiliário e na redução do número de transações de bens imóveis no município.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 xml:space="preserve">A queda nominal de 36,3% da Receita Patrimonial, em 2016, foi decorrente da mudança no critério de contabilização da receita de aplicações </w:t>
      </w:r>
      <w:r w:rsidR="0062437C">
        <w:rPr>
          <w:rFonts w:ascii="Verdana" w:hAnsi="Verdana" w:cs="CIDFont+F5"/>
        </w:rPr>
        <w:t>f</w:t>
      </w:r>
      <w:r w:rsidRPr="003A0D34">
        <w:rPr>
          <w:rFonts w:ascii="Verdana" w:hAnsi="Verdana" w:cs="CIDFont+F5"/>
        </w:rPr>
        <w:t>inanceiras ocorrida em 2015, e da Cessão de Direito da Operacionalização da Folha de Pagamento de Pessoal, cuja realização da receita foi de R$ 464 milhões no ano de 2015.</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As Receitas de Transferências Correntes cresceram nominalmente 2% e em termos reais, houve queda de 6,3%. Este grupo é responsável pela segunda maior arrecadação do município, representando 32,5% da receita total. O componente mais relevante desse grupo é o repasse do Imposto sobre Circulação de Mercadorias e Serviços (ICMS). Os Estados são obrigados a distribuir 25% de sua receita de ICMS aos seus respectivos municípios, de acordo com o Índice de Participação do Município. No total, o repasse do ICMS apresentou queda nominal de 2% e</w:t>
      </w:r>
      <w:r w:rsidR="0062437C">
        <w:rPr>
          <w:rFonts w:ascii="Verdana" w:hAnsi="Verdana" w:cs="CIDFont+F5"/>
        </w:rPr>
        <w:t xml:space="preserve"> </w:t>
      </w:r>
      <w:r w:rsidRPr="003A0D34">
        <w:rPr>
          <w:rFonts w:ascii="Verdana" w:hAnsi="Verdana" w:cs="CIDFont+F5"/>
        </w:rPr>
        <w:t>real de 9,8%. Essa queda é a composição da variação negativa da arrecadação do ICMS do Estado de São Paulo, de 8,1% real, acrescida da queda de 1,9% no Índice de Participação dos Municípios - que no caso da cidade de São Paulo, decresceu de 21,9% em 2015 para 21,5% em 2016.</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 Constituição Federal prevê que 50% do Imposto sobre a Propriedade de Veículos</w:t>
      </w:r>
      <w:r w:rsidR="0062437C">
        <w:rPr>
          <w:rFonts w:ascii="Verdana" w:hAnsi="Verdana" w:cs="CIDFont+F5"/>
        </w:rPr>
        <w:t xml:space="preserve"> </w:t>
      </w:r>
      <w:r w:rsidRPr="003A0D34">
        <w:rPr>
          <w:rFonts w:ascii="Verdana" w:hAnsi="Verdana" w:cs="CIDFont+F5"/>
        </w:rPr>
        <w:t>Automotores (IPVA), de competência estadual, deve ser transferido ao Município de</w:t>
      </w:r>
      <w:r w:rsidR="0062437C">
        <w:rPr>
          <w:rFonts w:ascii="Verdana" w:hAnsi="Verdana" w:cs="CIDFont+F5"/>
        </w:rPr>
        <w:t xml:space="preserve"> </w:t>
      </w:r>
      <w:r w:rsidRPr="003A0D34">
        <w:rPr>
          <w:rFonts w:ascii="Verdana" w:hAnsi="Verdana" w:cs="CIDFont+F5"/>
        </w:rPr>
        <w:t>licenciamento do veículo. Em 2016, esta receita computou R$ 2,45 bilhões, o que representa variação nominal de 4,9% e real de -4,4%. Nesse período, a frota de veículos da cidade aumentou 2,5%; entretanto, esse aumento foi 19% menor que o observado no ano anterior.</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O Fundo de Participação dos Municípios obteve uma variação positiva de 9,1% nominal. Vale ressaltar que a repatriação de recursos estrangeiros contribuiu com R$ 35 milhões dos R$ 272 milhões arrecadados em 2016.</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O subgrupo Outras Receitas Correntes apresentou queda nominal de 29,7%,</w:t>
      </w:r>
      <w:r w:rsidR="0062437C">
        <w:rPr>
          <w:rFonts w:ascii="Verdana" w:hAnsi="Verdana" w:cs="CIDFont+F5"/>
        </w:rPr>
        <w:t xml:space="preserve"> </w:t>
      </w:r>
      <w:r w:rsidRPr="003A0D34">
        <w:rPr>
          <w:rFonts w:ascii="Verdana" w:hAnsi="Verdana" w:cs="CIDFont+F5"/>
        </w:rPr>
        <w:t>principalmente devido à entrada pontual de recurso no valor de R$ 1,7 bilhão em 2015, referente a 70% do valor atualizado de Depósitos de processos judiciais (conforme a Lei Complementar nº 151/2015). Todavia, destaca-se a elevação de 29,8% da receita com multas e juros de mora em comparação com período anterior.</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Finalmente, informamos que em 2016 não houve abertura de Programa de Parcelamento</w:t>
      </w:r>
      <w:r w:rsidR="0062437C">
        <w:rPr>
          <w:rFonts w:ascii="Verdana" w:hAnsi="Verdana" w:cs="CIDFont+F5"/>
        </w:rPr>
        <w:t xml:space="preserve"> </w:t>
      </w:r>
      <w:r w:rsidRPr="003A0D34">
        <w:rPr>
          <w:rFonts w:ascii="Verdana" w:hAnsi="Verdana" w:cs="CIDFont+F5"/>
        </w:rPr>
        <w:t>Incentivado (PPI), havendo apenas o recebimento das parcelas já acordadas nos programas anteriores.</w:t>
      </w:r>
    </w:p>
    <w:p w:rsidR="00D72D5D" w:rsidRPr="003A0D34" w:rsidRDefault="00D72D5D" w:rsidP="00D72D5D">
      <w:pPr>
        <w:autoSpaceDE w:val="0"/>
        <w:autoSpaceDN w:val="0"/>
        <w:adjustRightInd w:val="0"/>
        <w:spacing w:after="0" w:line="240" w:lineRule="auto"/>
        <w:rPr>
          <w:rFonts w:ascii="Verdana" w:hAnsi="Verdana" w:cs="CIDFont+F5"/>
        </w:rPr>
      </w:pPr>
    </w:p>
    <w:p w:rsidR="00D72D5D" w:rsidRPr="003A0D34" w:rsidRDefault="00D72D5D" w:rsidP="00D72D5D">
      <w:pPr>
        <w:autoSpaceDE w:val="0"/>
        <w:autoSpaceDN w:val="0"/>
        <w:adjustRightInd w:val="0"/>
        <w:spacing w:after="0" w:line="240" w:lineRule="auto"/>
        <w:rPr>
          <w:rFonts w:ascii="Verdana" w:hAnsi="Verdana" w:cs="CIDFont+F2"/>
          <w:b/>
        </w:rPr>
      </w:pPr>
      <w:r w:rsidRPr="003A0D34">
        <w:rPr>
          <w:rFonts w:ascii="Verdana" w:hAnsi="Verdana" w:cs="CIDFont+F2"/>
          <w:b/>
        </w:rPr>
        <w:t>RECEITAS DE CAPITAL</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As Receitas de Capital são oriundas de Operações de Crédito, Alienação de Bens,</w:t>
      </w:r>
      <w:r w:rsidR="0062437C">
        <w:rPr>
          <w:rFonts w:ascii="Verdana" w:hAnsi="Verdana" w:cs="CIDFont+F5"/>
        </w:rPr>
        <w:t xml:space="preserve"> </w:t>
      </w:r>
      <w:r w:rsidRPr="003A0D34">
        <w:rPr>
          <w:rFonts w:ascii="Verdana" w:hAnsi="Verdana" w:cs="CIDFont+F5"/>
        </w:rPr>
        <w:t>Amortização de Empréstimos, Transferências de Capital e Outras Receitas de Capital e</w:t>
      </w:r>
      <w:r w:rsidR="0062437C">
        <w:rPr>
          <w:rFonts w:ascii="Verdana" w:hAnsi="Verdana" w:cs="CIDFont+F5"/>
        </w:rPr>
        <w:t xml:space="preserve"> </w:t>
      </w:r>
      <w:r w:rsidRPr="003A0D34">
        <w:rPr>
          <w:rFonts w:ascii="Verdana" w:hAnsi="Verdana" w:cs="CIDFont+F5"/>
        </w:rPr>
        <w:t>apresentaram uma variação nominal positiva de 6,60%. No período em questão, representaram apenas 2,9% da Receita Total.</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Destaca-se a receita do Fundo Municipal de Saneamento Ambiental e Infraestrutura</w:t>
      </w:r>
      <w:r w:rsidR="0062437C">
        <w:rPr>
          <w:rFonts w:ascii="Verdana" w:hAnsi="Verdana" w:cs="CIDFont+F5"/>
        </w:rPr>
        <w:t xml:space="preserve"> </w:t>
      </w:r>
      <w:r w:rsidRPr="003A0D34">
        <w:rPr>
          <w:rFonts w:ascii="Verdana" w:hAnsi="Verdana" w:cs="CIDFont+F5"/>
        </w:rPr>
        <w:t>(FMSAI), referente ao convênio com a SABESP, a qual apresentou aumento nominal de 31,2%, devido ao crescimento do volume de água tratada pela Sabesp em relação ao ano anterior. Por outro lado, houve a queda nominal de 92,0% dos recursos oriundos da alienação de Certificados de Potencial Adicional de Construção CEPAC, em razão da frustração da alienação dos títulos em 2016.</w:t>
      </w:r>
    </w:p>
    <w:p w:rsidR="00D72D5D" w:rsidRPr="003A0D34" w:rsidRDefault="00D72D5D" w:rsidP="00D72D5D">
      <w:pPr>
        <w:autoSpaceDE w:val="0"/>
        <w:autoSpaceDN w:val="0"/>
        <w:adjustRightInd w:val="0"/>
        <w:spacing w:after="0" w:line="240" w:lineRule="auto"/>
        <w:rPr>
          <w:rFonts w:ascii="Verdana" w:hAnsi="Verdana" w:cs="CIDFont+F5"/>
        </w:rPr>
      </w:pPr>
    </w:p>
    <w:p w:rsidR="00D72D5D" w:rsidRPr="003A0D34" w:rsidRDefault="00D72D5D" w:rsidP="00D72D5D">
      <w:pPr>
        <w:autoSpaceDE w:val="0"/>
        <w:autoSpaceDN w:val="0"/>
        <w:adjustRightInd w:val="0"/>
        <w:spacing w:after="0" w:line="240" w:lineRule="auto"/>
        <w:rPr>
          <w:rFonts w:ascii="Verdana" w:hAnsi="Verdana" w:cs="CIDFont+F2"/>
          <w:b/>
        </w:rPr>
      </w:pPr>
      <w:r w:rsidRPr="003A0D34">
        <w:rPr>
          <w:rFonts w:ascii="Verdana" w:hAnsi="Verdana" w:cs="CIDFont+F2"/>
          <w:b/>
        </w:rPr>
        <w:t>GESTÃO FISCAL</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Em 2016, a despesa total do Município atingiu cerca de R$ 49 bilhões. A alocação desses</w:t>
      </w:r>
      <w:r w:rsidR="0062437C">
        <w:rPr>
          <w:rFonts w:ascii="Verdana" w:hAnsi="Verdana" w:cs="CIDFont+F5"/>
        </w:rPr>
        <w:t xml:space="preserve"> </w:t>
      </w:r>
      <w:r w:rsidRPr="003A0D34">
        <w:rPr>
          <w:rFonts w:ascii="Verdana" w:hAnsi="Verdana" w:cs="CIDFont+F5"/>
        </w:rPr>
        <w:t>recursos tem a flexibilidade limitada por conta de suas vinculações a despesas específicas, tais como Educação, que precisava receber pelo menos 31% dos impostos, e Saúde, que recebe pelo menos 15% dos impostos, e adicionalmente, pagamento dos precatórios com base em valores mensais determinado pelo Tribunal de Justiça.</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Outros vínculos estão relacionados com Legislativo e com alguns Fundos Municipais</w:t>
      </w:r>
      <w:r w:rsidR="0062437C">
        <w:rPr>
          <w:rFonts w:ascii="Verdana" w:hAnsi="Verdana" w:cs="CIDFont+F5"/>
        </w:rPr>
        <w:t xml:space="preserve"> </w:t>
      </w:r>
      <w:r w:rsidRPr="003A0D34">
        <w:rPr>
          <w:rFonts w:ascii="Verdana" w:hAnsi="Verdana" w:cs="CIDFont+F5"/>
        </w:rPr>
        <w:t>específicos, como Transporte, Meio Ambiente e Desenvolvimento Urbano.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Outra parcela da despesa, mesmo não sendo legalmente vinculada, constitui obrigação</w:t>
      </w:r>
      <w:r w:rsidR="0062437C">
        <w:rPr>
          <w:rFonts w:ascii="Verdana" w:hAnsi="Verdana" w:cs="CIDFont+F5"/>
        </w:rPr>
        <w:t xml:space="preserve"> </w:t>
      </w:r>
      <w:r w:rsidRPr="003A0D34">
        <w:rPr>
          <w:rFonts w:ascii="Verdana" w:hAnsi="Verdana" w:cs="CIDFont+F5"/>
        </w:rPr>
        <w:t>inevitável, entre elas as despesas com servidores ativos e inativos, ou as essenciais à população,</w:t>
      </w:r>
      <w:r w:rsidR="0062437C">
        <w:rPr>
          <w:rFonts w:ascii="Verdana" w:hAnsi="Verdana" w:cs="CIDFont+F5"/>
        </w:rPr>
        <w:t xml:space="preserve"> </w:t>
      </w:r>
      <w:r w:rsidRPr="003A0D34">
        <w:rPr>
          <w:rFonts w:ascii="Verdana" w:hAnsi="Verdana" w:cs="CIDFont+F5"/>
        </w:rPr>
        <w:t>como limpeza urbana, iluminação pública, transporte público e recursos adicionais a áreas de</w:t>
      </w:r>
      <w:r w:rsidR="0062437C">
        <w:rPr>
          <w:rFonts w:ascii="Verdana" w:hAnsi="Verdana" w:cs="CIDFont+F5"/>
        </w:rPr>
        <w:t xml:space="preserve"> </w:t>
      </w:r>
      <w:r w:rsidRPr="003A0D34">
        <w:rPr>
          <w:rFonts w:ascii="Verdana" w:hAnsi="Verdana" w:cs="CIDFont+F5"/>
        </w:rPr>
        <w:t>fundamental importância como educação e saúde.</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Dessa forma, a administração municipal possui pouca discricionariedade na aplicação</w:t>
      </w:r>
      <w:r w:rsidR="0062437C">
        <w:rPr>
          <w:rFonts w:ascii="Verdana" w:hAnsi="Verdana" w:cs="CIDFont+F5"/>
        </w:rPr>
        <w:t xml:space="preserve"> </w:t>
      </w:r>
      <w:r w:rsidRPr="003A0D34">
        <w:rPr>
          <w:rFonts w:ascii="Verdana" w:hAnsi="Verdana" w:cs="CIDFont+F5"/>
        </w:rPr>
        <w:t>dos recursos públicos, a qual recai nas atividades de custeio de despesas com cultura, esportes,</w:t>
      </w:r>
      <w:r w:rsidR="0062437C">
        <w:rPr>
          <w:rFonts w:ascii="Verdana" w:hAnsi="Verdana" w:cs="CIDFont+F5"/>
        </w:rPr>
        <w:t xml:space="preserve"> </w:t>
      </w:r>
      <w:r w:rsidRPr="003A0D34">
        <w:rPr>
          <w:rFonts w:ascii="Verdana" w:hAnsi="Verdana" w:cs="CIDFont+F5"/>
        </w:rPr>
        <w:t>meio-ambiente, desenvolvimento econômico, investimentos, entre outros.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3B570C9D" wp14:editId="158BB2D6">
            <wp:extent cx="5400040" cy="3124647"/>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124647"/>
                    </a:xfrm>
                    <a:prstGeom prst="rect">
                      <a:avLst/>
                    </a:prstGeom>
                    <a:noFill/>
                    <a:ln>
                      <a:noFill/>
                    </a:ln>
                  </pic:spPr>
                </pic:pic>
              </a:graphicData>
            </a:graphic>
          </wp:inline>
        </w:drawing>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6024F0CE" wp14:editId="0436E648">
            <wp:extent cx="5400040" cy="3151328"/>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151328"/>
                    </a:xfrm>
                    <a:prstGeom prst="rect">
                      <a:avLst/>
                    </a:prstGeom>
                    <a:noFill/>
                    <a:ln>
                      <a:noFill/>
                    </a:ln>
                  </pic:spPr>
                </pic:pic>
              </a:graphicData>
            </a:graphic>
          </wp:inline>
        </w:drawing>
      </w:r>
    </w:p>
    <w:p w:rsidR="0062437C" w:rsidRDefault="0062437C" w:rsidP="00D72D5D">
      <w:pPr>
        <w:autoSpaceDE w:val="0"/>
        <w:autoSpaceDN w:val="0"/>
        <w:adjustRightInd w:val="0"/>
        <w:spacing w:after="0" w:line="240" w:lineRule="auto"/>
        <w:rPr>
          <w:rFonts w:ascii="Verdana" w:hAnsi="Verdana" w:cs="CIDFont+F2"/>
          <w:b/>
        </w:rPr>
      </w:pPr>
    </w:p>
    <w:p w:rsidR="00D72D5D" w:rsidRPr="003A0D34" w:rsidRDefault="00D72D5D" w:rsidP="00D72D5D">
      <w:pPr>
        <w:autoSpaceDE w:val="0"/>
        <w:autoSpaceDN w:val="0"/>
        <w:adjustRightInd w:val="0"/>
        <w:spacing w:after="0" w:line="240" w:lineRule="auto"/>
        <w:rPr>
          <w:rFonts w:ascii="Verdana" w:hAnsi="Verdana" w:cs="CIDFont+F2"/>
        </w:rPr>
      </w:pPr>
      <w:r w:rsidRPr="003A0D34">
        <w:rPr>
          <w:rFonts w:ascii="Verdana" w:hAnsi="Verdana" w:cs="CIDFont+F2"/>
          <w:b/>
        </w:rPr>
        <w:t>RESULTADOS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O Resultado Primário representa a economia efetuada pelo ente público para pagar juros,</w:t>
      </w:r>
      <w:r w:rsidR="0062437C">
        <w:rPr>
          <w:rFonts w:ascii="Verdana" w:hAnsi="Verdana" w:cs="CIDFont+F5"/>
        </w:rPr>
        <w:t xml:space="preserve"> </w:t>
      </w:r>
      <w:r w:rsidRPr="003A0D34">
        <w:rPr>
          <w:rFonts w:ascii="Verdana" w:hAnsi="Verdana" w:cs="CIDFont+F5"/>
        </w:rPr>
        <w:t>encargos e amortização da dívida. Conforme determinada na Lei Complementar nº 101/2000</w:t>
      </w:r>
      <w:r w:rsidR="0062437C">
        <w:rPr>
          <w:rFonts w:ascii="Verdana" w:hAnsi="Verdana" w:cs="CIDFont+F5"/>
        </w:rPr>
        <w:t xml:space="preserve"> </w:t>
      </w:r>
      <w:r w:rsidRPr="003A0D34">
        <w:rPr>
          <w:rFonts w:ascii="Verdana" w:hAnsi="Verdana" w:cs="CIDFont+F5"/>
        </w:rPr>
        <w:t>(Lei da Responsabilidade Fiscal), a meta de Resultado Primário deve ser estabelecida na Lei de</w:t>
      </w:r>
      <w:r w:rsidR="0062437C">
        <w:rPr>
          <w:rFonts w:ascii="Verdana" w:hAnsi="Verdana" w:cs="CIDFont+F5"/>
        </w:rPr>
        <w:t xml:space="preserve"> </w:t>
      </w:r>
      <w:r w:rsidRPr="003A0D34">
        <w:rPr>
          <w:rFonts w:ascii="Verdana" w:hAnsi="Verdana" w:cs="CIDFont+F5"/>
        </w:rPr>
        <w:t>Diretrizes Orçamentárias LDO para o exercíci</w:t>
      </w:r>
      <w:r w:rsidR="0062437C">
        <w:rPr>
          <w:rFonts w:ascii="Verdana" w:hAnsi="Verdana" w:cs="CIDFont+F5"/>
        </w:rPr>
        <w:t>o correspondente e para os dois s</w:t>
      </w:r>
      <w:r w:rsidRPr="003A0D34">
        <w:rPr>
          <w:rFonts w:ascii="Verdana" w:hAnsi="Verdana" w:cs="CIDFont+F5"/>
        </w:rPr>
        <w:t>eguintes.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Assim, o Resultado Primário é importante para avaliar a consistência entre as prioridades e</w:t>
      </w:r>
      <w:r w:rsidR="0062437C">
        <w:rPr>
          <w:rFonts w:ascii="Verdana" w:hAnsi="Verdana" w:cs="CIDFont+F5"/>
        </w:rPr>
        <w:t xml:space="preserve"> </w:t>
      </w:r>
      <w:r w:rsidRPr="003A0D34">
        <w:rPr>
          <w:rFonts w:ascii="Verdana" w:hAnsi="Verdana" w:cs="CIDFont+F5"/>
        </w:rPr>
        <w:t>metas de políticas públicas e a sustentabilidade da dívida, ou seja, da capacidade do governo de</w:t>
      </w:r>
      <w:r w:rsidR="0062437C">
        <w:rPr>
          <w:rFonts w:ascii="Verdana" w:hAnsi="Verdana" w:cs="CIDFont+F5"/>
        </w:rPr>
        <w:t xml:space="preserve"> </w:t>
      </w:r>
      <w:r w:rsidRPr="003A0D34">
        <w:rPr>
          <w:rFonts w:ascii="Verdana" w:hAnsi="Verdana" w:cs="CIDFont+F5"/>
        </w:rPr>
        <w:t>honrar seus compromissos.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 meta do Resultado Primário para o exercício de 2016, estabelecida na Lei de</w:t>
      </w:r>
      <w:r w:rsidR="0062437C">
        <w:rPr>
          <w:rFonts w:ascii="Verdana" w:hAnsi="Verdana" w:cs="CIDFont+F5"/>
        </w:rPr>
        <w:t xml:space="preserve"> </w:t>
      </w:r>
      <w:r w:rsidRPr="003A0D34">
        <w:rPr>
          <w:rFonts w:ascii="Verdana" w:hAnsi="Verdana" w:cs="CIDFont+F5"/>
        </w:rPr>
        <w:t>Diretrizes Orçamentárias (Lei Municipal nº 16.241/2015) e atualizada pela Lei</w:t>
      </w:r>
      <w:r w:rsidR="0062437C">
        <w:rPr>
          <w:rFonts w:ascii="Verdana" w:hAnsi="Verdana" w:cs="CIDFont+F5"/>
        </w:rPr>
        <w:t xml:space="preserve"> </w:t>
      </w:r>
      <w:r w:rsidRPr="003A0D34">
        <w:rPr>
          <w:rFonts w:ascii="Verdana" w:hAnsi="Verdana" w:cs="CIDFont+F5"/>
        </w:rPr>
        <w:t>Municipal nº 16.529/2016 é de R$ (1.929,4) milhões.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O resultado nominal corresponde à diferença entre o saldo da Dívida Fiscal Líquida ao</w:t>
      </w:r>
      <w:r w:rsidR="0062437C">
        <w:rPr>
          <w:rFonts w:ascii="Verdana" w:hAnsi="Verdana" w:cs="CIDFont+F5"/>
        </w:rPr>
        <w:t xml:space="preserve"> </w:t>
      </w:r>
      <w:r w:rsidRPr="003A0D34">
        <w:rPr>
          <w:rFonts w:ascii="Verdana" w:hAnsi="Verdana" w:cs="CIDFont+F5"/>
        </w:rPr>
        <w:t>final de um período e o saldo da Dívida Fiscal Líquida do período anterior, ou seja, está</w:t>
      </w:r>
      <w:r w:rsidR="0062437C">
        <w:rPr>
          <w:rFonts w:ascii="Verdana" w:hAnsi="Verdana" w:cs="CIDFont+F5"/>
        </w:rPr>
        <w:t xml:space="preserve"> </w:t>
      </w:r>
      <w:r w:rsidRPr="003A0D34">
        <w:rPr>
          <w:rFonts w:ascii="Verdana" w:hAnsi="Verdana" w:cs="CIDFont+F5"/>
        </w:rPr>
        <w:t>relacionado ao aumento ou diminuição do endividamento. Caso o resultado seja positivo, indica</w:t>
      </w:r>
      <w:r w:rsidR="0062437C">
        <w:rPr>
          <w:rFonts w:ascii="Verdana" w:hAnsi="Verdana" w:cs="CIDFont+F5"/>
        </w:rPr>
        <w:t xml:space="preserve"> </w:t>
      </w:r>
      <w:r w:rsidRPr="003A0D34">
        <w:rPr>
          <w:rFonts w:ascii="Verdana" w:hAnsi="Verdana" w:cs="CIDFont+F5"/>
        </w:rPr>
        <w:t>aumento do saldo da Dívida. Por outro lado, se o resultado for negativo, indica diminuição do</w:t>
      </w:r>
      <w:r w:rsidR="0062437C">
        <w:rPr>
          <w:rFonts w:ascii="Verdana" w:hAnsi="Verdana" w:cs="CIDFont+F5"/>
        </w:rPr>
        <w:t xml:space="preserve"> </w:t>
      </w:r>
      <w:r w:rsidRPr="003A0D34">
        <w:rPr>
          <w:rFonts w:ascii="Verdana" w:hAnsi="Verdana" w:cs="CIDFont+F5"/>
        </w:rPr>
        <w:t>saldo da Dívida. Nesse sentido, quanto menor (ou mais negativo) o resultado nominal, melhor</w:t>
      </w:r>
      <w:r w:rsidR="0062437C">
        <w:rPr>
          <w:rFonts w:ascii="Verdana" w:hAnsi="Verdana" w:cs="CIDFont+F5"/>
        </w:rPr>
        <w:t xml:space="preserve"> </w:t>
      </w:r>
      <w:r w:rsidRPr="003A0D34">
        <w:rPr>
          <w:rFonts w:ascii="Verdana" w:hAnsi="Verdana" w:cs="CIDFont+F5"/>
        </w:rPr>
        <w:t>do ponto de vista da situação financeira.</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 meta do Resultado Nominal para o exercício de 2016 estabelecida na Lei de Diretrizes</w:t>
      </w:r>
      <w:r w:rsidR="0062437C">
        <w:rPr>
          <w:rFonts w:ascii="Verdana" w:hAnsi="Verdana" w:cs="CIDFont+F5"/>
        </w:rPr>
        <w:t xml:space="preserve"> </w:t>
      </w:r>
      <w:r w:rsidRPr="003A0D34">
        <w:rPr>
          <w:rFonts w:ascii="Verdana" w:hAnsi="Verdana" w:cs="CIDFont+F5"/>
        </w:rPr>
        <w:t>Orçamentárias (Lei Municipal nº 16.241/2015) foi de R$ (35.544,6) Milhões. Ao final do</w:t>
      </w:r>
      <w:r w:rsidR="0062437C">
        <w:rPr>
          <w:rFonts w:ascii="Verdana" w:hAnsi="Verdana" w:cs="CIDFont+F5"/>
        </w:rPr>
        <w:t xml:space="preserve"> </w:t>
      </w:r>
      <w:r w:rsidRPr="003A0D34">
        <w:rPr>
          <w:rFonts w:ascii="Verdana" w:hAnsi="Verdana" w:cs="CIDFont+F5"/>
        </w:rPr>
        <w:t>exercício, o Resultado Nominal atendeu a meta estabelecida pela Lei Municipal nº 16.241/2015.</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O resultado foi de R$ (40.187,3) milhões, superando a meta para o exercício em R$ (4.642,7) milhões.</w:t>
      </w:r>
    </w:p>
    <w:p w:rsidR="00D72D5D" w:rsidRPr="003A0D34" w:rsidRDefault="00D72D5D" w:rsidP="00D72D5D">
      <w:pPr>
        <w:autoSpaceDE w:val="0"/>
        <w:autoSpaceDN w:val="0"/>
        <w:adjustRightInd w:val="0"/>
        <w:spacing w:after="0" w:line="240" w:lineRule="auto"/>
        <w:rPr>
          <w:rFonts w:ascii="Verdana" w:hAnsi="Verdana" w:cs="CIDFont+F5"/>
        </w:rPr>
      </w:pP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7B137522" wp14:editId="3481A5EB">
            <wp:extent cx="5400040" cy="2216759"/>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216759"/>
                    </a:xfrm>
                    <a:prstGeom prst="rect">
                      <a:avLst/>
                    </a:prstGeom>
                    <a:noFill/>
                    <a:ln>
                      <a:noFill/>
                    </a:ln>
                  </pic:spPr>
                </pic:pic>
              </a:graphicData>
            </a:graphic>
          </wp:inline>
        </w:drawing>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Verifica-se como necessária a revisão da meta para o exercício de 2017 em virtude da</w:t>
      </w:r>
      <w:r w:rsidR="0062437C">
        <w:rPr>
          <w:rFonts w:ascii="Verdana" w:hAnsi="Verdana" w:cs="CIDFont+F5"/>
        </w:rPr>
        <w:t xml:space="preserve"> </w:t>
      </w:r>
      <w:r w:rsidRPr="003A0D34">
        <w:rPr>
          <w:rFonts w:ascii="Verdana" w:hAnsi="Verdana" w:cs="CIDFont+F5"/>
        </w:rPr>
        <w:t>reprogramação do cronograma de dispêndios de recursos ligados às operações urbanas</w:t>
      </w:r>
      <w:r w:rsidR="0062437C">
        <w:rPr>
          <w:rFonts w:ascii="Verdana" w:hAnsi="Verdana" w:cs="CIDFont+F5"/>
        </w:rPr>
        <w:t xml:space="preserve"> </w:t>
      </w:r>
      <w:r w:rsidRPr="003A0D34">
        <w:rPr>
          <w:rFonts w:ascii="Verdana" w:hAnsi="Verdana" w:cs="CIDFont+F5"/>
        </w:rPr>
        <w:t>consorciadas e de utilização da saldos de recursos arrecadados em exercícios anteriores de</w:t>
      </w:r>
      <w:r w:rsidR="0062437C">
        <w:rPr>
          <w:rFonts w:ascii="Verdana" w:hAnsi="Verdana" w:cs="CIDFont+F5"/>
        </w:rPr>
        <w:t xml:space="preserve"> </w:t>
      </w:r>
      <w:r w:rsidRPr="003A0D34">
        <w:rPr>
          <w:rFonts w:ascii="Verdana" w:hAnsi="Verdana" w:cs="CIDFont+F5"/>
        </w:rPr>
        <w:t xml:space="preserve">Fundos Municipais que resultarão na existência de despesas primárias </w:t>
      </w:r>
      <w:r w:rsidRPr="003A0D34">
        <w:rPr>
          <w:rFonts w:ascii="Verdana" w:hAnsi="Verdana" w:cs="CIDFont+F2"/>
        </w:rPr>
        <w:t>sem igual reflexo nas</w:t>
      </w:r>
      <w:r w:rsidR="0062437C">
        <w:rPr>
          <w:rFonts w:ascii="Verdana" w:hAnsi="Verdana" w:cs="CIDFont+F2"/>
        </w:rPr>
        <w:t xml:space="preserve"> </w:t>
      </w:r>
      <w:r w:rsidRPr="003A0D34">
        <w:rPr>
          <w:rFonts w:ascii="Verdana" w:hAnsi="Verdana" w:cs="CIDFont+F2"/>
        </w:rPr>
        <w:t>receitas primárias no exercício de 2017</w:t>
      </w:r>
      <w:r w:rsidRPr="003A0D34">
        <w:rPr>
          <w:rFonts w:ascii="Verdana" w:hAnsi="Verdana" w:cs="CIDFont+F5"/>
        </w:rPr>
        <w:t xml:space="preserve">. O montante que se espera utilizar, em todas as </w:t>
      </w:r>
      <w:r w:rsidR="0062437C">
        <w:rPr>
          <w:rFonts w:ascii="Verdana" w:hAnsi="Verdana" w:cs="CIDFont+F5"/>
        </w:rPr>
        <w:t>f</w:t>
      </w:r>
      <w:r w:rsidRPr="003A0D34">
        <w:rPr>
          <w:rFonts w:ascii="Verdana" w:hAnsi="Verdana" w:cs="CIDFont+F5"/>
        </w:rPr>
        <w:t>ontes,</w:t>
      </w:r>
      <w:r w:rsidR="0062437C">
        <w:rPr>
          <w:rFonts w:ascii="Verdana" w:hAnsi="Verdana" w:cs="CIDFont+F5"/>
        </w:rPr>
        <w:t xml:space="preserve"> </w:t>
      </w:r>
      <w:r w:rsidRPr="003A0D34">
        <w:rPr>
          <w:rFonts w:ascii="Verdana" w:hAnsi="Verdana" w:cs="CIDFont+F2"/>
        </w:rPr>
        <w:t>oriundo de superávit financeiro do exercício de 2016</w:t>
      </w:r>
      <w:r w:rsidRPr="003A0D34">
        <w:rPr>
          <w:rFonts w:ascii="Verdana" w:hAnsi="Verdana" w:cs="CIDFont+F5"/>
        </w:rPr>
        <w:t>, será de aproximadamente R$ 2,4</w:t>
      </w:r>
      <w:r w:rsidR="0062437C">
        <w:rPr>
          <w:rFonts w:ascii="Verdana" w:hAnsi="Verdana" w:cs="CIDFont+F5"/>
        </w:rPr>
        <w:t xml:space="preserve"> </w:t>
      </w:r>
      <w:r w:rsidRPr="003A0D34">
        <w:rPr>
          <w:rFonts w:ascii="Verdana" w:hAnsi="Verdana" w:cs="CIDFont+F5"/>
        </w:rPr>
        <w:t>bilhões.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Em que pese o superávit primário a ser perseguido em 2017 seja inferior à meta fixada</w:t>
      </w:r>
      <w:r w:rsidR="0062437C">
        <w:rPr>
          <w:rFonts w:ascii="Verdana" w:hAnsi="Verdana" w:cs="CIDFont+F5"/>
        </w:rPr>
        <w:t xml:space="preserve"> </w:t>
      </w:r>
      <w:r w:rsidRPr="003A0D34">
        <w:rPr>
          <w:rFonts w:ascii="Verdana" w:hAnsi="Verdana" w:cs="CIDFont+F5"/>
        </w:rPr>
        <w:t>no ano de 2016, isto não colocará em risco o pagamento dos serviços da dívida devido à</w:t>
      </w:r>
      <w:r w:rsidR="0062437C">
        <w:rPr>
          <w:rFonts w:ascii="Verdana" w:hAnsi="Verdana" w:cs="CIDFont+F5"/>
        </w:rPr>
        <w:t xml:space="preserve"> </w:t>
      </w:r>
      <w:r w:rsidRPr="003A0D34">
        <w:rPr>
          <w:rFonts w:ascii="Verdana" w:hAnsi="Verdana" w:cs="CIDFont+F5"/>
        </w:rPr>
        <w:t>existência de receitas não primárias que poderão ser utilizadas com essa finalidade, bem como</w:t>
      </w:r>
      <w:r w:rsidR="0062437C">
        <w:rPr>
          <w:rFonts w:ascii="Verdana" w:hAnsi="Verdana" w:cs="CIDFont+F5"/>
        </w:rPr>
        <w:t xml:space="preserve"> </w:t>
      </w:r>
      <w:r w:rsidRPr="003A0D34">
        <w:rPr>
          <w:rFonts w:ascii="Verdana" w:hAnsi="Verdana" w:cs="CIDFont+F5"/>
        </w:rPr>
        <w:t>devido ao fato de que os recursos de exercícios anteriores que afetam negativamente a meta no</w:t>
      </w:r>
    </w:p>
    <w:p w:rsidR="0062437C"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momento de seu dispêndio são principalmente recursos vinculados e que, portanto, não</w:t>
      </w:r>
      <w:r w:rsidR="0062437C">
        <w:rPr>
          <w:rFonts w:ascii="Verdana" w:hAnsi="Verdana" w:cs="CIDFont+F5"/>
        </w:rPr>
        <w:t xml:space="preserve"> </w:t>
      </w:r>
      <w:r w:rsidRPr="003A0D34">
        <w:rPr>
          <w:rFonts w:ascii="Verdana" w:hAnsi="Verdana" w:cs="CIDFont+F5"/>
        </w:rPr>
        <w:t>poderiam ser utilizados como lastro para o pagamento de precatórios. Separado o resultado por</w:t>
      </w:r>
      <w:r w:rsidR="0062437C">
        <w:rPr>
          <w:rFonts w:ascii="Verdana" w:hAnsi="Verdana" w:cs="CIDFont+F5"/>
        </w:rPr>
        <w:t xml:space="preserve"> </w:t>
      </w:r>
      <w:r w:rsidRPr="003A0D34">
        <w:rPr>
          <w:rFonts w:ascii="Verdana" w:hAnsi="Verdana" w:cs="CIDFont+F5"/>
        </w:rPr>
        <w:t>fontes, verifica-se a existência de superávit primário na fonte Tesouro Municipal suficiente para</w:t>
      </w:r>
      <w:r w:rsidR="0062437C">
        <w:rPr>
          <w:rFonts w:ascii="Verdana" w:hAnsi="Verdana" w:cs="CIDFont+F5"/>
        </w:rPr>
        <w:t xml:space="preserve"> </w:t>
      </w:r>
      <w:r w:rsidRPr="003A0D34">
        <w:rPr>
          <w:rFonts w:ascii="Verdana" w:hAnsi="Verdana" w:cs="CIDFont+F5"/>
        </w:rPr>
        <w:t>pagamento dos serviços e do principal da dívida consolidada.</w:t>
      </w:r>
    </w:p>
    <w:p w:rsidR="0062437C" w:rsidRDefault="0062437C" w:rsidP="00D72D5D">
      <w:pPr>
        <w:autoSpaceDE w:val="0"/>
        <w:autoSpaceDN w:val="0"/>
        <w:adjustRightInd w:val="0"/>
        <w:spacing w:after="0" w:line="240" w:lineRule="auto"/>
        <w:rPr>
          <w:rFonts w:ascii="Verdana" w:hAnsi="Verdana" w:cs="CIDFont+F5"/>
        </w:rPr>
      </w:pP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0B036278" wp14:editId="1BE54E51">
            <wp:extent cx="5400040" cy="280163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2801630"/>
                    </a:xfrm>
                    <a:prstGeom prst="rect">
                      <a:avLst/>
                    </a:prstGeom>
                    <a:noFill/>
                    <a:ln>
                      <a:noFill/>
                    </a:ln>
                  </pic:spPr>
                </pic:pic>
              </a:graphicData>
            </a:graphic>
          </wp:inline>
        </w:drawing>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7B71A724" wp14:editId="52261839">
            <wp:extent cx="5400040" cy="2954158"/>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2954158"/>
                    </a:xfrm>
                    <a:prstGeom prst="rect">
                      <a:avLst/>
                    </a:prstGeom>
                    <a:noFill/>
                    <a:ln>
                      <a:noFill/>
                    </a:ln>
                  </pic:spPr>
                </pic:pic>
              </a:graphicData>
            </a:graphic>
          </wp:inline>
        </w:drawing>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44DB6C64" wp14:editId="30DA0ECC">
            <wp:extent cx="5400040" cy="127886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1278860"/>
                    </a:xfrm>
                    <a:prstGeom prst="rect">
                      <a:avLst/>
                    </a:prstGeom>
                    <a:noFill/>
                    <a:ln>
                      <a:noFill/>
                    </a:ln>
                  </pic:spPr>
                </pic:pic>
              </a:graphicData>
            </a:graphic>
          </wp:inline>
        </w:drawing>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11A81552" wp14:editId="78469532">
            <wp:extent cx="5400040" cy="4693717"/>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4693717"/>
                    </a:xfrm>
                    <a:prstGeom prst="rect">
                      <a:avLst/>
                    </a:prstGeom>
                    <a:noFill/>
                    <a:ln>
                      <a:noFill/>
                    </a:ln>
                  </pic:spPr>
                </pic:pic>
              </a:graphicData>
            </a:graphic>
          </wp:inline>
        </w:drawing>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6E306A43" wp14:editId="52697E74">
            <wp:extent cx="5400040" cy="667626"/>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667626"/>
                    </a:xfrm>
                    <a:prstGeom prst="rect">
                      <a:avLst/>
                    </a:prstGeom>
                    <a:noFill/>
                    <a:ln>
                      <a:noFill/>
                    </a:ln>
                  </pic:spPr>
                </pic:pic>
              </a:graphicData>
            </a:graphic>
          </wp:inline>
        </w:drawing>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c) Destacam-se as duas maiores participações das Despesas de Capital do exercício de 2016:</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i) Despesas com Investimentos que totalizaram o montante de R$ 3.023.027.177,56, correspondendo a 60,30% das Despesas de</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Capital;</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ii) Amortização da Dívida que totalizou o montante de R$ 1.960.600.145,27 e correspondem a 39,11% das Despesas de Capital.</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d) Analisando os três grupos das Despesas de Capital do exercício de 2016, observa-se que:</w:t>
      </w:r>
    </w:p>
    <w:p w:rsidR="00D72D5D" w:rsidRPr="003A0D34" w:rsidRDefault="00D72D5D" w:rsidP="00D72D5D">
      <w:pPr>
        <w:autoSpaceDE w:val="0"/>
        <w:autoSpaceDN w:val="0"/>
        <w:adjustRightInd w:val="0"/>
        <w:spacing w:after="0" w:line="240" w:lineRule="auto"/>
        <w:rPr>
          <w:rFonts w:ascii="Verdana" w:hAnsi="Verdana" w:cs="CIDFont+F2"/>
        </w:rPr>
      </w:pPr>
      <w:r w:rsidRPr="003A0D34">
        <w:rPr>
          <w:rFonts w:ascii="Verdana" w:hAnsi="Verdana" w:cs="CIDFont+F2"/>
        </w:rPr>
        <w:t>DESPESAS EXECUTADAS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 Na PMSP, a comprovação de aplicação de recursos advindos de alienação de ativos em despesas de capital é feita em conjunto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com as demais receitas de capital, uma vez que não há segregação destas receitas por fonte/destinação de recursos. Dessa forma,</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comparando as receitas e despesas de capital pode-se verificar que houve capitalização nos três exercícios, pois ocorreram coberturas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de despesas de capital com receitas correntes.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i) Em Investimento, Obras e Instalações representando 57,41% do total do grupo;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ii) Em Inversões Financeiras os percentuais de participação das duas contas do grupo foram similares, sendo 50,73% para Aquisição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de Produtos para Revenda e 49,27% para Constituição ou Aumento de Capital de Empresas;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iii) Amortização da Dívida é composto de uma única conta - Principal da Dívida Contratual Resgatado, equivalendo a 100% do grupo.</w:t>
      </w:r>
    </w:p>
    <w:p w:rsidR="00D72D5D" w:rsidRPr="003A0D34" w:rsidRDefault="00D72D5D" w:rsidP="00D72D5D">
      <w:pPr>
        <w:autoSpaceDE w:val="0"/>
        <w:autoSpaceDN w:val="0"/>
        <w:adjustRightInd w:val="0"/>
        <w:spacing w:after="0" w:line="240" w:lineRule="auto"/>
        <w:rPr>
          <w:rFonts w:ascii="Verdana" w:hAnsi="Verdana" w:cs="CIDFont+F5"/>
        </w:rPr>
      </w:pPr>
    </w:p>
    <w:p w:rsidR="00D72D5D" w:rsidRPr="003A0D34" w:rsidRDefault="00D72D5D" w:rsidP="00D72D5D">
      <w:pPr>
        <w:autoSpaceDE w:val="0"/>
        <w:autoSpaceDN w:val="0"/>
        <w:adjustRightInd w:val="0"/>
        <w:spacing w:after="0" w:line="240" w:lineRule="auto"/>
        <w:rPr>
          <w:rFonts w:ascii="Verdana" w:hAnsi="Verdana" w:cs="CIDFont+F2"/>
          <w:b/>
        </w:rPr>
      </w:pPr>
      <w:r w:rsidRPr="003A0D34">
        <w:rPr>
          <w:rFonts w:ascii="Verdana" w:hAnsi="Verdana" w:cs="CIDFont+F2"/>
          <w:b/>
        </w:rPr>
        <w:t>ESTIMATIVA E COMPENSAÇÃO DA RENÚNCIA DE RECEITAS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Inciso V do § 2º do Art. 4º da Lei Complementar nº 101, de 04 de maio de 2000</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 receita prevista baseou-se na arrecadação do exercício em curso e contempla as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alterações legais, abaixo identificadas, que ensejam renúncia de receita, nos termos do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que determina o inciso V do § 2º do Art. 4º da Lei Complementar nº 101, de 04 de maio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de 2000.</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661C84F2" wp14:editId="6F2525C2">
            <wp:extent cx="5400040" cy="6718810"/>
            <wp:effectExtent l="0" t="0" r="0" b="63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6718810"/>
                    </a:xfrm>
                    <a:prstGeom prst="rect">
                      <a:avLst/>
                    </a:prstGeom>
                    <a:noFill/>
                    <a:ln>
                      <a:noFill/>
                    </a:ln>
                  </pic:spPr>
                </pic:pic>
              </a:graphicData>
            </a:graphic>
          </wp:inline>
        </w:drawing>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1672E275" wp14:editId="50665D9F">
            <wp:extent cx="5400040" cy="3049197"/>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3049197"/>
                    </a:xfrm>
                    <a:prstGeom prst="rect">
                      <a:avLst/>
                    </a:prstGeom>
                    <a:noFill/>
                    <a:ln>
                      <a:noFill/>
                    </a:ln>
                  </pic:spPr>
                </pic:pic>
              </a:graphicData>
            </a:graphic>
          </wp:inline>
        </w:drawing>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4DA1F630" wp14:editId="596E6440">
            <wp:extent cx="5400040" cy="5091211"/>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5091211"/>
                    </a:xfrm>
                    <a:prstGeom prst="rect">
                      <a:avLst/>
                    </a:prstGeom>
                    <a:noFill/>
                    <a:ln>
                      <a:noFill/>
                    </a:ln>
                  </pic:spPr>
                </pic:pic>
              </a:graphicData>
            </a:graphic>
          </wp:inline>
        </w:drawing>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2F298257" wp14:editId="667A0949">
            <wp:extent cx="5400040" cy="5883616"/>
            <wp:effectExtent l="0" t="0" r="0" b="317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5883616"/>
                    </a:xfrm>
                    <a:prstGeom prst="rect">
                      <a:avLst/>
                    </a:prstGeom>
                    <a:noFill/>
                    <a:ln>
                      <a:noFill/>
                    </a:ln>
                  </pic:spPr>
                </pic:pic>
              </a:graphicData>
            </a:graphic>
          </wp:inline>
        </w:drawing>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63569848" wp14:editId="0C1CE883">
            <wp:extent cx="5400040" cy="2782928"/>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2782928"/>
                    </a:xfrm>
                    <a:prstGeom prst="rect">
                      <a:avLst/>
                    </a:prstGeom>
                    <a:noFill/>
                    <a:ln>
                      <a:noFill/>
                    </a:ln>
                  </pic:spPr>
                </pic:pic>
              </a:graphicData>
            </a:graphic>
          </wp:inline>
        </w:drawing>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0C921172" wp14:editId="5AB40181">
            <wp:extent cx="5400040" cy="2243406"/>
            <wp:effectExtent l="0" t="0" r="0" b="508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2243406"/>
                    </a:xfrm>
                    <a:prstGeom prst="rect">
                      <a:avLst/>
                    </a:prstGeom>
                    <a:noFill/>
                    <a:ln>
                      <a:noFill/>
                    </a:ln>
                  </pic:spPr>
                </pic:pic>
              </a:graphicData>
            </a:graphic>
          </wp:inline>
        </w:drawing>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0DEBB87C" wp14:editId="27113009">
            <wp:extent cx="5400040" cy="4106670"/>
            <wp:effectExtent l="0" t="0" r="0" b="825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4106670"/>
                    </a:xfrm>
                    <a:prstGeom prst="rect">
                      <a:avLst/>
                    </a:prstGeom>
                    <a:noFill/>
                    <a:ln>
                      <a:noFill/>
                    </a:ln>
                  </pic:spPr>
                </pic:pic>
              </a:graphicData>
            </a:graphic>
          </wp:inline>
        </w:drawing>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3C126831" wp14:editId="2933EB7B">
            <wp:extent cx="5400040" cy="1968981"/>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1968981"/>
                    </a:xfrm>
                    <a:prstGeom prst="rect">
                      <a:avLst/>
                    </a:prstGeom>
                    <a:noFill/>
                    <a:ln>
                      <a:noFill/>
                    </a:ln>
                  </pic:spPr>
                </pic:pic>
              </a:graphicData>
            </a:graphic>
          </wp:inline>
        </w:drawing>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420E057B" wp14:editId="2EF518DA">
            <wp:extent cx="5400040" cy="4308482"/>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4308482"/>
                    </a:xfrm>
                    <a:prstGeom prst="rect">
                      <a:avLst/>
                    </a:prstGeom>
                    <a:noFill/>
                    <a:ln>
                      <a:noFill/>
                    </a:ln>
                  </pic:spPr>
                </pic:pic>
              </a:graphicData>
            </a:graphic>
          </wp:inline>
        </w:drawing>
      </w:r>
    </w:p>
    <w:p w:rsidR="0062437C" w:rsidRDefault="0062437C" w:rsidP="00D72D5D">
      <w:pPr>
        <w:autoSpaceDE w:val="0"/>
        <w:autoSpaceDN w:val="0"/>
        <w:adjustRightInd w:val="0"/>
        <w:spacing w:after="0" w:line="240" w:lineRule="auto"/>
        <w:rPr>
          <w:rFonts w:ascii="Verdana" w:hAnsi="Verdana" w:cs="CIDFont+F2"/>
          <w:b/>
        </w:rPr>
      </w:pPr>
    </w:p>
    <w:p w:rsidR="00D72D5D" w:rsidRPr="003A0D34" w:rsidRDefault="00D72D5D" w:rsidP="00D72D5D">
      <w:pPr>
        <w:autoSpaceDE w:val="0"/>
        <w:autoSpaceDN w:val="0"/>
        <w:adjustRightInd w:val="0"/>
        <w:spacing w:after="0" w:line="240" w:lineRule="auto"/>
        <w:rPr>
          <w:rFonts w:ascii="Verdana" w:hAnsi="Verdana" w:cs="CIDFont+F2"/>
          <w:b/>
        </w:rPr>
      </w:pPr>
      <w:r w:rsidRPr="003A0D34">
        <w:rPr>
          <w:rFonts w:ascii="Verdana" w:hAnsi="Verdana" w:cs="CIDFont+F2"/>
          <w:b/>
        </w:rPr>
        <w:t>AVALIAÇÃO DA SITUAÇÃO FINANCEIRA E ATUARIAL</w:t>
      </w:r>
    </w:p>
    <w:p w:rsidR="00D72D5D" w:rsidRPr="003A0D34" w:rsidRDefault="00D72D5D" w:rsidP="00D72D5D">
      <w:pPr>
        <w:autoSpaceDE w:val="0"/>
        <w:autoSpaceDN w:val="0"/>
        <w:adjustRightInd w:val="0"/>
        <w:spacing w:after="0" w:line="240" w:lineRule="auto"/>
        <w:rPr>
          <w:rFonts w:ascii="Verdana" w:hAnsi="Verdana" w:cs="CIDFont+F5"/>
          <w:b/>
        </w:rPr>
      </w:pPr>
      <w:r w:rsidRPr="003A0D34">
        <w:rPr>
          <w:rFonts w:ascii="Verdana" w:hAnsi="Verdana" w:cs="CIDFont+F5"/>
          <w:b/>
        </w:rPr>
        <w:t>Art. 4º, §2º, inciso IV da Lei Complementar nº 101 de 04/05/2000</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O Instituto de Previdência do Município de São Paulo (IPREM) contratou</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consultoria atuarial para elaboração de estudo contendo análises estatísticas, resultados e</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 avaliação e pareceres para instrução do Demonstrativo do Resultado da Avaliação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Atuarial (DRAA-2016) do Regime Próprio de Previdência Social (RPPS) do Município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de São Paulo e para realização das projeções atuariais relativas ao período compreendido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entre os anos de 2016 a 2090, em atendimento ao disposto no art. 4º, §2º, inciso IV da Lei</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Complementar nº 101 de 04/05/2000.</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Os dados e informações dos servidores e dos respectivos órgãos de origem,</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vinculados ao regime previdenciário funcional, utilizados na elaboração do estudo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atuarial estão posicionados em 31 de dezembro de 2015, conforme as disposições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constantes na Portaria MPS n° 403/2008 e na Lei Federal n° 9.717/1998. Do citado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relatório atuarial, foram extraídas as seguintes informações relevantes para atendimento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à legislação informada:</w:t>
      </w:r>
    </w:p>
    <w:p w:rsidR="00D72D5D" w:rsidRPr="003A0D34" w:rsidRDefault="00D72D5D" w:rsidP="00D72D5D">
      <w:pPr>
        <w:autoSpaceDE w:val="0"/>
        <w:autoSpaceDN w:val="0"/>
        <w:adjustRightInd w:val="0"/>
        <w:spacing w:after="0" w:line="240" w:lineRule="auto"/>
        <w:rPr>
          <w:rFonts w:ascii="Verdana" w:hAnsi="Verdana" w:cs="CIDFont+F5"/>
        </w:rPr>
      </w:pPr>
    </w:p>
    <w:p w:rsidR="00D72D5D" w:rsidRPr="003A0D34" w:rsidRDefault="00D72D5D" w:rsidP="00D72D5D">
      <w:pPr>
        <w:autoSpaceDE w:val="0"/>
        <w:autoSpaceDN w:val="0"/>
        <w:adjustRightInd w:val="0"/>
        <w:spacing w:after="0" w:line="240" w:lineRule="auto"/>
        <w:rPr>
          <w:rFonts w:ascii="Verdana" w:hAnsi="Verdana" w:cs="CIDFont+F2"/>
          <w:b/>
        </w:rPr>
      </w:pPr>
      <w:r w:rsidRPr="003A0D34">
        <w:rPr>
          <w:rFonts w:ascii="Verdana" w:hAnsi="Verdana" w:cs="CIDFont+F2"/>
          <w:b/>
        </w:rPr>
        <w:t>1. APRESENTAÇÃO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O ordenamento jurídico que disciplina os Regimes Próprios de Previdência Social</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da União, Estados, Distrito Federal e Municípios, consubstanciada nas Emendas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Constitucionais nºs 20, de 15/12/98, 41, de 19/12/2003, 47, de 05/07/2005, 70, de</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29/03/2012 e 88, de 07/05/2015, nas Leis nºs 10.887, de 18/06/2004, e 9.717, de 27/11/98,</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e demais normativos do Ministério do Trabalho e da Previdência Social (MTPS), instituiu</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um conjunto de ações de cunho financeiro, econômico e atuarial a serem observadas pelos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entes federativos.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 exigência de realização de estudo atuarial com o objetivo de monitorar 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equilíbrio econômico-financeiro presente e futuro dos respectivos regimes próprios visa</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assegurar a necessária solvência para o cumprimento das obrigações previdenciárias que</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lhes são pertinentes.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O estudo atuarial, conforme estabelecido na Lei nº 9.717/98, deve ser efetuado em</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cada exercício, de forma a serem mensuradas as variações nas hipóteses atuariais, nos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dados financeiros e cadastrais ocorridas no período. Dessa forma, esta reavaliação atuarial</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contempla a atualização da análise das obrigações e dos direitos futuros concernentes ao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RPPS do município de São Paulo-SP, cabendo o estudo da sua dimensão e do seu</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comportamento ao longo do período de 75 anos estimados pela legislação para</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permanência do mesmo.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Neste documento estão retratados os resultados da reavaliação atuarial com</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posição em 31/12/2015.</w:t>
      </w:r>
    </w:p>
    <w:p w:rsidR="00D72D5D" w:rsidRPr="003A0D34" w:rsidRDefault="00D72D5D" w:rsidP="00D72D5D">
      <w:pPr>
        <w:autoSpaceDE w:val="0"/>
        <w:autoSpaceDN w:val="0"/>
        <w:adjustRightInd w:val="0"/>
        <w:spacing w:after="0" w:line="240" w:lineRule="auto"/>
        <w:rPr>
          <w:rFonts w:ascii="Verdana" w:hAnsi="Verdana" w:cs="CIDFont+F5"/>
        </w:rPr>
      </w:pPr>
    </w:p>
    <w:p w:rsidR="00D72D5D" w:rsidRPr="003A0D34" w:rsidRDefault="00D72D5D" w:rsidP="00D72D5D">
      <w:pPr>
        <w:autoSpaceDE w:val="0"/>
        <w:autoSpaceDN w:val="0"/>
        <w:adjustRightInd w:val="0"/>
        <w:spacing w:after="0" w:line="240" w:lineRule="auto"/>
        <w:rPr>
          <w:rFonts w:ascii="Verdana" w:hAnsi="Verdana" w:cs="CIDFont+F2"/>
          <w:b/>
        </w:rPr>
      </w:pPr>
      <w:r w:rsidRPr="003A0D34">
        <w:rPr>
          <w:rFonts w:ascii="Verdana" w:hAnsi="Verdana" w:cs="CIDFont+F2"/>
          <w:b/>
        </w:rPr>
        <w:t>2. OBJETIVO</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O estudo prospectivo das obrigações do Instituto tem por objetivo mensurar o grau</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de solvência econômico-financeira necessário para manter os benefícios de natureza</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previdenciária devidos aos servidores públicos efetivos e respectivos dependentes,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qualificados na forma da Lei Municipal que instituiu e regulamentou o regime de</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previdência social dos servidores públicos municipais.</w:t>
      </w:r>
    </w:p>
    <w:p w:rsidR="00D72D5D" w:rsidRPr="003A0D34" w:rsidRDefault="00D72D5D" w:rsidP="00D72D5D">
      <w:pPr>
        <w:autoSpaceDE w:val="0"/>
        <w:autoSpaceDN w:val="0"/>
        <w:adjustRightInd w:val="0"/>
        <w:spacing w:after="0" w:line="240" w:lineRule="auto"/>
        <w:rPr>
          <w:rFonts w:ascii="Verdana" w:hAnsi="Verdana" w:cs="CIDFont+F5"/>
        </w:rPr>
      </w:pPr>
      <w:r w:rsidRPr="003A0D34">
        <w:rPr>
          <w:rFonts w:ascii="Verdana" w:hAnsi="Verdana" w:cs="CIDFont+F5"/>
        </w:rPr>
        <w:t>Como resultados do estudo atuarial, serão quantificados para o Instituto:</w:t>
      </w:r>
    </w:p>
    <w:p w:rsidR="00777FB1" w:rsidRPr="003A0D34" w:rsidRDefault="00D72D5D" w:rsidP="00777FB1">
      <w:pPr>
        <w:pStyle w:val="PargrafodaLista"/>
        <w:numPr>
          <w:ilvl w:val="0"/>
          <w:numId w:val="3"/>
        </w:numPr>
        <w:autoSpaceDE w:val="0"/>
        <w:autoSpaceDN w:val="0"/>
        <w:adjustRightInd w:val="0"/>
        <w:spacing w:after="0" w:line="240" w:lineRule="auto"/>
        <w:rPr>
          <w:rFonts w:ascii="Verdana" w:hAnsi="Verdana" w:cs="CIDFont+F5"/>
        </w:rPr>
      </w:pPr>
      <w:r w:rsidRPr="003A0D34">
        <w:rPr>
          <w:rFonts w:ascii="Verdana" w:hAnsi="Verdana" w:cs="CIDFont+F5"/>
        </w:rPr>
        <w:t>O custo previdenciário de todos os benefícios oferecidos em seu regulamento;</w:t>
      </w:r>
    </w:p>
    <w:p w:rsidR="00777FB1" w:rsidRPr="003A0D34" w:rsidRDefault="00777FB1" w:rsidP="00777FB1">
      <w:pPr>
        <w:pStyle w:val="PargrafodaLista"/>
        <w:numPr>
          <w:ilvl w:val="0"/>
          <w:numId w:val="3"/>
        </w:numPr>
        <w:autoSpaceDE w:val="0"/>
        <w:autoSpaceDN w:val="0"/>
        <w:adjustRightInd w:val="0"/>
        <w:spacing w:after="0" w:line="240" w:lineRule="auto"/>
        <w:rPr>
          <w:rFonts w:ascii="Verdana" w:hAnsi="Verdana" w:cs="CIDFont+F5"/>
        </w:rPr>
      </w:pPr>
      <w:r w:rsidRPr="003A0D34">
        <w:rPr>
          <w:rFonts w:ascii="Verdana" w:hAnsi="Verdana" w:cs="CIDFont+F5"/>
        </w:rPr>
        <w:t>As reservas necessárias ao pagamento dos benefícios previdenciários estruturados em regime financeiro de capitalização;</w:t>
      </w:r>
    </w:p>
    <w:p w:rsidR="00777FB1" w:rsidRPr="003A0D34" w:rsidRDefault="00777FB1" w:rsidP="00777FB1">
      <w:pPr>
        <w:pStyle w:val="PargrafodaLista"/>
        <w:numPr>
          <w:ilvl w:val="0"/>
          <w:numId w:val="3"/>
        </w:numPr>
        <w:autoSpaceDE w:val="0"/>
        <w:autoSpaceDN w:val="0"/>
        <w:adjustRightInd w:val="0"/>
        <w:spacing w:after="0" w:line="240" w:lineRule="auto"/>
        <w:rPr>
          <w:rFonts w:ascii="Verdana" w:hAnsi="Verdana" w:cs="CIDFont+F5"/>
        </w:rPr>
      </w:pPr>
      <w:r w:rsidRPr="003A0D34">
        <w:rPr>
          <w:rFonts w:ascii="Verdana" w:hAnsi="Verdana" w:cs="CIDFont+F5"/>
        </w:rPr>
        <w:t xml:space="preserve">As alíquotas de contribuição que equilibram financeira e economicamente o modelo previdenciário; </w:t>
      </w:r>
    </w:p>
    <w:p w:rsidR="00777FB1" w:rsidRPr="003A0D34" w:rsidRDefault="00777FB1" w:rsidP="00777FB1">
      <w:pPr>
        <w:pStyle w:val="PargrafodaLista"/>
        <w:numPr>
          <w:ilvl w:val="0"/>
          <w:numId w:val="3"/>
        </w:numPr>
        <w:autoSpaceDE w:val="0"/>
        <w:autoSpaceDN w:val="0"/>
        <w:adjustRightInd w:val="0"/>
        <w:spacing w:after="0" w:line="240" w:lineRule="auto"/>
        <w:rPr>
          <w:rFonts w:ascii="Verdana" w:hAnsi="Verdana" w:cs="CIDFont+F5"/>
        </w:rPr>
      </w:pPr>
      <w:r w:rsidRPr="003A0D34">
        <w:rPr>
          <w:rFonts w:ascii="Verdana" w:hAnsi="Verdana" w:cs="CIDFont+F5"/>
        </w:rPr>
        <w:t>As projeções atuariais de receitas e de despesas com o pagamento de benefícios e despesas administrativas do Instituto para o período de 75 anos;</w:t>
      </w:r>
    </w:p>
    <w:p w:rsidR="00777FB1" w:rsidRPr="003A0D34" w:rsidRDefault="00777FB1" w:rsidP="00777FB1">
      <w:pPr>
        <w:pStyle w:val="PargrafodaLista"/>
        <w:numPr>
          <w:ilvl w:val="0"/>
          <w:numId w:val="3"/>
        </w:numPr>
        <w:autoSpaceDE w:val="0"/>
        <w:autoSpaceDN w:val="0"/>
        <w:adjustRightInd w:val="0"/>
        <w:spacing w:after="0" w:line="240" w:lineRule="auto"/>
        <w:rPr>
          <w:rFonts w:ascii="Verdana" w:hAnsi="Verdana" w:cs="CIDFont+F5"/>
        </w:rPr>
      </w:pPr>
      <w:r w:rsidRPr="003A0D34">
        <w:rPr>
          <w:rFonts w:ascii="Verdana" w:hAnsi="Verdana" w:cs="CIDFont+F5"/>
        </w:rPr>
        <w:t xml:space="preserve">Os quantitativos esperados para os grupos de ativos, inativos e pensionistas para o período de 75 anos. </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Levando-se em conta a elaboração de projeções para o período de 75 anos,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cumpre-nos destacar que este estudo atuarial foi realizado dentro da visão prospectiva de</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ocorrência dos fatos, consistindo, então, em uma análise de inferência do que se estima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ser observado ao longo deste período, razão pela qual os resultados devem ser</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interpretados dentro desta ótica. Eventuais desvios entre o comportamento esperado e 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verdadeira ocorrência dos fatos relevantes aqui estimados poderão ocorrer, dada 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natureza probabilística dos eventos tratados na avaliação atuarial, o que reforça 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necessidade de revisões anuais, conforme prevê a Lei nº 9.717/98 ao exigir a reavaliação</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atuarial em cada balanço.</w:t>
      </w:r>
    </w:p>
    <w:p w:rsidR="00777FB1" w:rsidRPr="003A0D34" w:rsidRDefault="00777FB1" w:rsidP="00777FB1">
      <w:pPr>
        <w:autoSpaceDE w:val="0"/>
        <w:autoSpaceDN w:val="0"/>
        <w:adjustRightInd w:val="0"/>
        <w:spacing w:after="0" w:line="240" w:lineRule="auto"/>
        <w:rPr>
          <w:rFonts w:ascii="Verdana" w:hAnsi="Verdana" w:cs="CIDFont+F2"/>
          <w:b/>
        </w:rPr>
      </w:pPr>
    </w:p>
    <w:p w:rsidR="00777FB1" w:rsidRPr="003A0D34" w:rsidRDefault="00777FB1" w:rsidP="00777FB1">
      <w:pPr>
        <w:autoSpaceDE w:val="0"/>
        <w:autoSpaceDN w:val="0"/>
        <w:adjustRightInd w:val="0"/>
        <w:spacing w:after="0" w:line="240" w:lineRule="auto"/>
        <w:rPr>
          <w:rFonts w:ascii="Verdana" w:hAnsi="Verdana" w:cs="CIDFont+F2"/>
          <w:b/>
        </w:rPr>
      </w:pPr>
      <w:r w:rsidRPr="003A0D34">
        <w:rPr>
          <w:rFonts w:ascii="Verdana" w:hAnsi="Verdana" w:cs="CIDFont+F2"/>
          <w:b/>
        </w:rPr>
        <w:t>3. CONDIÇÕES DE CONCESSÃO E VALORES DOS BENEFÍCIOS - AMPARO</w:t>
      </w:r>
    </w:p>
    <w:p w:rsidR="00777FB1" w:rsidRPr="003A0D34" w:rsidRDefault="00777FB1" w:rsidP="00777FB1">
      <w:pPr>
        <w:autoSpaceDE w:val="0"/>
        <w:autoSpaceDN w:val="0"/>
        <w:adjustRightInd w:val="0"/>
        <w:spacing w:after="0" w:line="240" w:lineRule="auto"/>
        <w:rPr>
          <w:rFonts w:ascii="Verdana" w:hAnsi="Verdana" w:cs="CIDFont+F2"/>
          <w:b/>
        </w:rPr>
      </w:pPr>
      <w:r w:rsidRPr="003A0D34">
        <w:rPr>
          <w:rFonts w:ascii="Verdana" w:hAnsi="Verdana" w:cs="CIDFont+F2"/>
          <w:b/>
        </w:rPr>
        <w:t>LEGAL</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O trabalho da reavaliação atuarial foi desenvolvido em observância à Constituição</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Federal e demais leis infraconstitucionais, Resoluções e Portarias do MTPS aplicáveis ao</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assunto, em especial àquelas relacionadas a seguir:</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Constituição Federal, art. 40;</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 xml:space="preserve">Constituição Federal, com a redação dada pelas Emendas Constitucionais nº20/98, nº 41/03, nº 47/05, nº 70/12 e nº 88/15; </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Lei Complementar nª 152, de 03 de dezembro de 2015;</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Lei nº 10.887, de 18 de junho de 2004;</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Lei nº 9.717, de 27 de novembro de 1998;</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Lei nº 8.213, de 24 de julho de 1991, que dispõe sobre os planos de benefícios concedidos pelo Regime Geral de Previdência Social, a ser aplicada subsidiariamente ao Regime Próprio de Previdência Social - RPPS;</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Lei nº 9.796, de 05 de maio de 1999;</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Decreto 3.112, de 06 de julho de 1999;</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Portaria MPAS nº 6.209, de 16 de dezembro de 1999;</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Lei Complementar nº 101, de 04 de maio de 2000;</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Manual de Contabilidade Aplicada ao Setor Público (MCASP);</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Portaria MPS nº 403, de 10 de dezembro de 2008;</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Portaria MPS nº 402, de 10 de dezembro de 2008;</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Portaria MPS nº 746, de 27 de dezembro de 2011;</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Portaria MPS nº 563, de 26 de dezembro de 2014;</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Orientação Normativa SPS nº02, de 31 de março de 2009; e</w:t>
      </w:r>
    </w:p>
    <w:p w:rsidR="00777FB1" w:rsidRPr="003A0D34" w:rsidRDefault="00777FB1" w:rsidP="00777FB1">
      <w:pPr>
        <w:pStyle w:val="PargrafodaLista"/>
        <w:numPr>
          <w:ilvl w:val="0"/>
          <w:numId w:val="5"/>
        </w:numPr>
        <w:autoSpaceDE w:val="0"/>
        <w:autoSpaceDN w:val="0"/>
        <w:adjustRightInd w:val="0"/>
        <w:spacing w:after="0" w:line="240" w:lineRule="auto"/>
        <w:rPr>
          <w:rFonts w:ascii="Verdana" w:hAnsi="Verdana" w:cs="CIDFont+F5"/>
        </w:rPr>
      </w:pPr>
      <w:r w:rsidRPr="003A0D34">
        <w:rPr>
          <w:rFonts w:ascii="Verdana" w:hAnsi="Verdana" w:cs="CIDFont+F5"/>
        </w:rPr>
        <w:t>Legislação Municipal que rege a matéria.</w:t>
      </w:r>
    </w:p>
    <w:p w:rsidR="00777FB1" w:rsidRPr="003A0D34" w:rsidRDefault="00777FB1" w:rsidP="00777FB1">
      <w:pPr>
        <w:autoSpaceDE w:val="0"/>
        <w:autoSpaceDN w:val="0"/>
        <w:adjustRightInd w:val="0"/>
        <w:spacing w:after="0" w:line="240" w:lineRule="auto"/>
        <w:rPr>
          <w:rFonts w:ascii="Verdana" w:hAnsi="Verdana" w:cs="CIDFont+F5"/>
        </w:rPr>
      </w:pPr>
    </w:p>
    <w:p w:rsidR="00777FB1" w:rsidRPr="003A0D34" w:rsidRDefault="00777FB1" w:rsidP="00777FB1">
      <w:pPr>
        <w:autoSpaceDE w:val="0"/>
        <w:autoSpaceDN w:val="0"/>
        <w:adjustRightInd w:val="0"/>
        <w:spacing w:after="0" w:line="240" w:lineRule="auto"/>
        <w:rPr>
          <w:rFonts w:ascii="Verdana" w:hAnsi="Verdana" w:cs="CIDFont+F2"/>
          <w:b/>
        </w:rPr>
      </w:pPr>
      <w:r w:rsidRPr="003A0D34">
        <w:rPr>
          <w:rFonts w:ascii="Verdana" w:hAnsi="Verdana" w:cs="CIDFont+F2"/>
          <w:b/>
        </w:rPr>
        <w:t>4. BENEFÍCIOS ASSEGURADOS</w:t>
      </w:r>
    </w:p>
    <w:p w:rsidR="00777FB1" w:rsidRPr="003A0D34" w:rsidRDefault="00777FB1" w:rsidP="00777FB1">
      <w:pPr>
        <w:pStyle w:val="PargrafodaLista"/>
        <w:numPr>
          <w:ilvl w:val="0"/>
          <w:numId w:val="6"/>
        </w:numPr>
        <w:autoSpaceDE w:val="0"/>
        <w:autoSpaceDN w:val="0"/>
        <w:adjustRightInd w:val="0"/>
        <w:spacing w:after="0" w:line="240" w:lineRule="auto"/>
        <w:rPr>
          <w:rFonts w:ascii="Verdana" w:hAnsi="Verdana" w:cs="CIDFont+F5"/>
        </w:rPr>
      </w:pPr>
      <w:r w:rsidRPr="003A0D34">
        <w:rPr>
          <w:rFonts w:ascii="Verdana" w:hAnsi="Verdana" w:cs="CIDFont+F5"/>
        </w:rPr>
        <w:t>Os benefícios assegurados pelo Instituto são:</w:t>
      </w:r>
    </w:p>
    <w:p w:rsidR="00777FB1" w:rsidRPr="003A0D34" w:rsidRDefault="00777FB1" w:rsidP="00777FB1">
      <w:pPr>
        <w:pStyle w:val="PargrafodaLista"/>
        <w:numPr>
          <w:ilvl w:val="0"/>
          <w:numId w:val="6"/>
        </w:numPr>
        <w:autoSpaceDE w:val="0"/>
        <w:autoSpaceDN w:val="0"/>
        <w:adjustRightInd w:val="0"/>
        <w:spacing w:after="0" w:line="240" w:lineRule="auto"/>
        <w:rPr>
          <w:rFonts w:ascii="Verdana" w:hAnsi="Verdana" w:cs="CIDFont+F5"/>
        </w:rPr>
      </w:pPr>
      <w:r w:rsidRPr="003A0D34">
        <w:rPr>
          <w:rFonts w:ascii="Verdana" w:hAnsi="Verdana" w:cs="CIDFont+F5"/>
        </w:rPr>
        <w:t>Aposentadoria por tempo de contribuição;</w:t>
      </w:r>
    </w:p>
    <w:p w:rsidR="00777FB1" w:rsidRPr="003A0D34" w:rsidRDefault="00777FB1" w:rsidP="00777FB1">
      <w:pPr>
        <w:pStyle w:val="PargrafodaLista"/>
        <w:numPr>
          <w:ilvl w:val="0"/>
          <w:numId w:val="6"/>
        </w:numPr>
        <w:autoSpaceDE w:val="0"/>
        <w:autoSpaceDN w:val="0"/>
        <w:adjustRightInd w:val="0"/>
        <w:spacing w:after="0" w:line="240" w:lineRule="auto"/>
        <w:rPr>
          <w:rFonts w:ascii="Verdana" w:hAnsi="Verdana" w:cs="CIDFont+F5"/>
        </w:rPr>
      </w:pPr>
      <w:r w:rsidRPr="003A0D34">
        <w:rPr>
          <w:rFonts w:ascii="Verdana" w:hAnsi="Verdana" w:cs="CIDFont+F5"/>
        </w:rPr>
        <w:t>Aposentadoria por idade;</w:t>
      </w:r>
    </w:p>
    <w:p w:rsidR="00777FB1" w:rsidRPr="003A0D34" w:rsidRDefault="00777FB1" w:rsidP="00777FB1">
      <w:pPr>
        <w:pStyle w:val="PargrafodaLista"/>
        <w:numPr>
          <w:ilvl w:val="0"/>
          <w:numId w:val="6"/>
        </w:numPr>
        <w:autoSpaceDE w:val="0"/>
        <w:autoSpaceDN w:val="0"/>
        <w:adjustRightInd w:val="0"/>
        <w:spacing w:after="0" w:line="240" w:lineRule="auto"/>
        <w:rPr>
          <w:rFonts w:ascii="Verdana" w:hAnsi="Verdana" w:cs="CIDFont+F5"/>
        </w:rPr>
      </w:pPr>
      <w:r w:rsidRPr="003A0D34">
        <w:rPr>
          <w:rFonts w:ascii="Verdana" w:hAnsi="Verdana" w:cs="CIDFont+F5"/>
        </w:rPr>
        <w:t>Aposentadoria por invalidez;</w:t>
      </w:r>
    </w:p>
    <w:p w:rsidR="00777FB1" w:rsidRPr="003A0D34" w:rsidRDefault="00777FB1" w:rsidP="00777FB1">
      <w:pPr>
        <w:pStyle w:val="PargrafodaLista"/>
        <w:numPr>
          <w:ilvl w:val="0"/>
          <w:numId w:val="6"/>
        </w:numPr>
        <w:autoSpaceDE w:val="0"/>
        <w:autoSpaceDN w:val="0"/>
        <w:adjustRightInd w:val="0"/>
        <w:spacing w:after="0" w:line="240" w:lineRule="auto"/>
        <w:rPr>
          <w:rFonts w:ascii="Verdana" w:hAnsi="Verdana" w:cs="CIDFont+F5"/>
        </w:rPr>
      </w:pPr>
      <w:r w:rsidRPr="003A0D34">
        <w:rPr>
          <w:rFonts w:ascii="Verdana" w:hAnsi="Verdana" w:cs="CIDFont+F5"/>
        </w:rPr>
        <w:t>Aposentadoria compulsória; e</w:t>
      </w:r>
    </w:p>
    <w:p w:rsidR="00777FB1" w:rsidRPr="003A0D34" w:rsidRDefault="00777FB1" w:rsidP="00777FB1">
      <w:pPr>
        <w:pStyle w:val="PargrafodaLista"/>
        <w:numPr>
          <w:ilvl w:val="0"/>
          <w:numId w:val="6"/>
        </w:numPr>
        <w:autoSpaceDE w:val="0"/>
        <w:autoSpaceDN w:val="0"/>
        <w:adjustRightInd w:val="0"/>
        <w:spacing w:after="0" w:line="240" w:lineRule="auto"/>
        <w:rPr>
          <w:rFonts w:ascii="Verdana" w:hAnsi="Verdana" w:cs="CIDFont+F5"/>
        </w:rPr>
      </w:pPr>
      <w:r w:rsidRPr="003A0D34">
        <w:rPr>
          <w:rFonts w:ascii="Verdana" w:hAnsi="Verdana" w:cs="CIDFont+F5"/>
        </w:rPr>
        <w:t>Pensão por morte.</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As condições de elegibilidade e regras de cálculo dos benefícios estão definidas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no art. 40 da Constituição Federal e nas Emendas Constitucionais nºs 20/98, 41/03, 47/05,</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70/12 e 88/15, bem como na legislação municipal que regulamenta o RPPS.</w:t>
      </w:r>
    </w:p>
    <w:p w:rsidR="00777FB1" w:rsidRPr="003A0D34" w:rsidRDefault="00777FB1" w:rsidP="00777FB1">
      <w:pPr>
        <w:autoSpaceDE w:val="0"/>
        <w:autoSpaceDN w:val="0"/>
        <w:adjustRightInd w:val="0"/>
        <w:spacing w:after="0" w:line="240" w:lineRule="auto"/>
        <w:rPr>
          <w:rFonts w:ascii="Verdana" w:hAnsi="Verdana" w:cs="CIDFont+F2"/>
        </w:rPr>
      </w:pPr>
    </w:p>
    <w:p w:rsidR="00777FB1" w:rsidRPr="003A0D34" w:rsidRDefault="00777FB1" w:rsidP="00777FB1">
      <w:pPr>
        <w:autoSpaceDE w:val="0"/>
        <w:autoSpaceDN w:val="0"/>
        <w:adjustRightInd w:val="0"/>
        <w:spacing w:after="0" w:line="240" w:lineRule="auto"/>
        <w:rPr>
          <w:rFonts w:ascii="Verdana" w:hAnsi="Verdana" w:cs="CIDFont+F2"/>
          <w:b/>
        </w:rPr>
      </w:pPr>
      <w:r w:rsidRPr="003A0D34">
        <w:rPr>
          <w:rFonts w:ascii="Verdana" w:hAnsi="Verdana" w:cs="CIDFont+F2"/>
          <w:b/>
        </w:rPr>
        <w:t>5. ELEGIBILIDADES PARA A APOSENTADORIA PROGRAMADA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Tendo em vista que o benefício de aposentadoria programada representa aquele</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de maior expressividade de reservas e custos para o regime previdencial, apresentamos,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a seguir, um resumo das condições de elegibilidade para esse benefício, de acordo com 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legislação utilizada na presente avaliação.</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As elegibilidades para os demais benefícios podem ser encontradas na legislação</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relatada neste documento.</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Regra geral para todos os servidores aposentadoria voluntária, com proventos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calculados com base na média das remunerações e sem paridade de reajuste com os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servidores ativos:</w:t>
      </w:r>
    </w:p>
    <w:p w:rsidR="00777FB1" w:rsidRPr="003A0D34" w:rsidRDefault="00777FB1" w:rsidP="00777FB1">
      <w:pPr>
        <w:pStyle w:val="PargrafodaLista"/>
        <w:numPr>
          <w:ilvl w:val="0"/>
          <w:numId w:val="8"/>
        </w:numPr>
        <w:autoSpaceDE w:val="0"/>
        <w:autoSpaceDN w:val="0"/>
        <w:adjustRightInd w:val="0"/>
        <w:spacing w:after="0" w:line="240" w:lineRule="auto"/>
        <w:rPr>
          <w:rFonts w:ascii="Verdana" w:hAnsi="Verdana" w:cs="CIDFont+F5"/>
        </w:rPr>
      </w:pPr>
      <w:r w:rsidRPr="003A0D34">
        <w:rPr>
          <w:rFonts w:ascii="Verdana" w:hAnsi="Verdana" w:cs="CIDFont+F5"/>
        </w:rPr>
        <w:t>60 anos de idade, se homem, ou 55 anos de idade, se mulher;</w:t>
      </w:r>
    </w:p>
    <w:p w:rsidR="00777FB1" w:rsidRPr="003A0D34" w:rsidRDefault="00777FB1" w:rsidP="00777FB1">
      <w:pPr>
        <w:pStyle w:val="PargrafodaLista"/>
        <w:numPr>
          <w:ilvl w:val="0"/>
          <w:numId w:val="8"/>
        </w:numPr>
        <w:autoSpaceDE w:val="0"/>
        <w:autoSpaceDN w:val="0"/>
        <w:adjustRightInd w:val="0"/>
        <w:spacing w:after="0" w:line="240" w:lineRule="auto"/>
        <w:rPr>
          <w:rFonts w:ascii="Verdana" w:hAnsi="Verdana" w:cs="CIDFont+F5"/>
        </w:rPr>
      </w:pPr>
      <w:r w:rsidRPr="003A0D34">
        <w:rPr>
          <w:rFonts w:ascii="Verdana" w:hAnsi="Verdana" w:cs="CIDFont+F5"/>
        </w:rPr>
        <w:t>35 ou 30 anos de contribuição, para o sexo masculino ou feminino;</w:t>
      </w:r>
    </w:p>
    <w:p w:rsidR="00777FB1" w:rsidRPr="003A0D34" w:rsidRDefault="00777FB1" w:rsidP="00777FB1">
      <w:pPr>
        <w:pStyle w:val="PargrafodaLista"/>
        <w:numPr>
          <w:ilvl w:val="0"/>
          <w:numId w:val="8"/>
        </w:numPr>
        <w:autoSpaceDE w:val="0"/>
        <w:autoSpaceDN w:val="0"/>
        <w:adjustRightInd w:val="0"/>
        <w:spacing w:after="0" w:line="240" w:lineRule="auto"/>
        <w:rPr>
          <w:rFonts w:ascii="Verdana" w:hAnsi="Verdana" w:cs="CIDFont+F5"/>
        </w:rPr>
      </w:pPr>
      <w:r w:rsidRPr="003A0D34">
        <w:rPr>
          <w:rFonts w:ascii="Verdana" w:hAnsi="Verdana" w:cs="CIDFont+F5"/>
        </w:rPr>
        <w:t>65 ou 60 anos de idade, para a aposentadoria por idade;</w:t>
      </w:r>
    </w:p>
    <w:p w:rsidR="00777FB1" w:rsidRPr="003A0D34" w:rsidRDefault="00777FB1" w:rsidP="00777FB1">
      <w:pPr>
        <w:pStyle w:val="PargrafodaLista"/>
        <w:numPr>
          <w:ilvl w:val="0"/>
          <w:numId w:val="8"/>
        </w:numPr>
        <w:autoSpaceDE w:val="0"/>
        <w:autoSpaceDN w:val="0"/>
        <w:adjustRightInd w:val="0"/>
        <w:spacing w:after="0" w:line="240" w:lineRule="auto"/>
        <w:rPr>
          <w:rFonts w:ascii="Verdana" w:hAnsi="Verdana" w:cs="CIDFont+F5"/>
        </w:rPr>
      </w:pPr>
      <w:r w:rsidRPr="003A0D34">
        <w:rPr>
          <w:rFonts w:ascii="Verdana" w:hAnsi="Verdana" w:cs="CIDFont+F5"/>
        </w:rPr>
        <w:t>10 anos de efetivo exercício no serviço público;</w:t>
      </w:r>
    </w:p>
    <w:p w:rsidR="00777FB1" w:rsidRPr="003A0D34" w:rsidRDefault="00777FB1" w:rsidP="00777FB1">
      <w:pPr>
        <w:pStyle w:val="PargrafodaLista"/>
        <w:numPr>
          <w:ilvl w:val="0"/>
          <w:numId w:val="8"/>
        </w:numPr>
        <w:autoSpaceDE w:val="0"/>
        <w:autoSpaceDN w:val="0"/>
        <w:adjustRightInd w:val="0"/>
        <w:spacing w:after="0" w:line="240" w:lineRule="auto"/>
        <w:rPr>
          <w:rFonts w:ascii="Verdana" w:hAnsi="Verdana" w:cs="CIDFont+F5"/>
        </w:rPr>
      </w:pPr>
      <w:r w:rsidRPr="003A0D34">
        <w:rPr>
          <w:rFonts w:ascii="Verdana" w:hAnsi="Verdana" w:cs="CIDFont+F5"/>
        </w:rPr>
        <w:t>5 anos no cargo efetivo em que se dará a aposentadoria;</w:t>
      </w:r>
    </w:p>
    <w:p w:rsidR="00777FB1" w:rsidRPr="003A0D34" w:rsidRDefault="00777FB1" w:rsidP="00777FB1">
      <w:pPr>
        <w:pStyle w:val="PargrafodaLista"/>
        <w:numPr>
          <w:ilvl w:val="0"/>
          <w:numId w:val="8"/>
        </w:numPr>
        <w:autoSpaceDE w:val="0"/>
        <w:autoSpaceDN w:val="0"/>
        <w:adjustRightInd w:val="0"/>
        <w:spacing w:after="0" w:line="240" w:lineRule="auto"/>
        <w:rPr>
          <w:rFonts w:ascii="Verdana" w:hAnsi="Verdana" w:cs="CIDFont+F5"/>
        </w:rPr>
      </w:pPr>
      <w:r w:rsidRPr="003A0D34">
        <w:rPr>
          <w:rFonts w:ascii="Verdana" w:hAnsi="Verdana" w:cs="CIDFont+F5"/>
        </w:rPr>
        <w:t>Os requisitos de tempo de contribuição e idade serão reduzidos em cinco anos para os professores, exceto para o caso de aposentadoria compulsória.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Regra para os servidores que ingressaram regularmente em cargo da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Administração Pública direta, autárquica e fundacional, até 16/12/1998, com proventos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calculados pela média das remunerações e com a aplicação de fator de antecipação de</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3,5% ou 5% incidentes sobre o benefício:</w:t>
      </w:r>
    </w:p>
    <w:p w:rsidR="00777FB1" w:rsidRPr="003A0D34" w:rsidRDefault="00777FB1" w:rsidP="00777FB1">
      <w:pPr>
        <w:pStyle w:val="PargrafodaLista"/>
        <w:numPr>
          <w:ilvl w:val="0"/>
          <w:numId w:val="9"/>
        </w:numPr>
        <w:autoSpaceDE w:val="0"/>
        <w:autoSpaceDN w:val="0"/>
        <w:adjustRightInd w:val="0"/>
        <w:spacing w:after="0" w:line="240" w:lineRule="auto"/>
        <w:rPr>
          <w:rFonts w:ascii="Verdana" w:hAnsi="Verdana" w:cs="CIDFont+F5"/>
        </w:rPr>
      </w:pPr>
      <w:r w:rsidRPr="003A0D34">
        <w:rPr>
          <w:rFonts w:ascii="Verdana" w:hAnsi="Verdana" w:cs="CIDFont+F5"/>
        </w:rPr>
        <w:t>53 ou 48 anos de idade, se homem ou mulher, respectivamente;</w:t>
      </w:r>
    </w:p>
    <w:p w:rsidR="00777FB1" w:rsidRPr="003A0D34" w:rsidRDefault="00777FB1" w:rsidP="00777FB1">
      <w:pPr>
        <w:pStyle w:val="PargrafodaLista"/>
        <w:numPr>
          <w:ilvl w:val="0"/>
          <w:numId w:val="9"/>
        </w:numPr>
        <w:autoSpaceDE w:val="0"/>
        <w:autoSpaceDN w:val="0"/>
        <w:adjustRightInd w:val="0"/>
        <w:spacing w:after="0" w:line="240" w:lineRule="auto"/>
        <w:rPr>
          <w:rFonts w:ascii="Verdana" w:hAnsi="Verdana" w:cs="CIDFont+F5"/>
        </w:rPr>
      </w:pPr>
      <w:r w:rsidRPr="003A0D34">
        <w:rPr>
          <w:rFonts w:ascii="Verdana" w:hAnsi="Verdana" w:cs="CIDFont+F5"/>
        </w:rPr>
        <w:t>5 anos no cargo efetivo em que se dará a aposentadoria;</w:t>
      </w:r>
    </w:p>
    <w:p w:rsidR="00777FB1" w:rsidRPr="003A0D34" w:rsidRDefault="00777FB1" w:rsidP="00777FB1">
      <w:pPr>
        <w:pStyle w:val="PargrafodaLista"/>
        <w:numPr>
          <w:ilvl w:val="0"/>
          <w:numId w:val="9"/>
        </w:numPr>
        <w:autoSpaceDE w:val="0"/>
        <w:autoSpaceDN w:val="0"/>
        <w:adjustRightInd w:val="0"/>
        <w:spacing w:after="0" w:line="240" w:lineRule="auto"/>
        <w:rPr>
          <w:rFonts w:ascii="Verdana" w:hAnsi="Verdana" w:cs="CIDFont+F5"/>
        </w:rPr>
      </w:pPr>
      <w:r w:rsidRPr="003A0D34">
        <w:rPr>
          <w:rFonts w:ascii="Verdana" w:hAnsi="Verdana" w:cs="CIDFont+F5"/>
        </w:rPr>
        <w:t>Tempo de contribuição igual, no mínimo, a:</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9"/>
        </w:rPr>
        <w:t xml:space="preserve">o </w:t>
      </w:r>
      <w:r w:rsidRPr="003A0D34">
        <w:rPr>
          <w:rFonts w:ascii="Verdana" w:hAnsi="Verdana" w:cs="CIDFont+F5"/>
        </w:rPr>
        <w:t>35 anos, se homem, e 30, se mulher;</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9"/>
        </w:rPr>
        <w:t xml:space="preserve">o </w:t>
      </w:r>
      <w:r w:rsidRPr="003A0D34">
        <w:rPr>
          <w:rFonts w:ascii="Verdana" w:hAnsi="Verdana" w:cs="CIDFont+F5"/>
        </w:rPr>
        <w:t>um período adicional de contribuição equivalente a vinte por cento do tempo</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5"/>
        </w:rPr>
        <w:t>que, na data da publicação da Emenda Constitucional nº 20, faltaria para</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5"/>
        </w:rPr>
        <w:t>atingir o limite de tempo exigido para a aposentadoria integral (35 ou 30 anos, conforme o sexo);</w:t>
      </w:r>
    </w:p>
    <w:p w:rsidR="00777FB1" w:rsidRPr="003A0D34" w:rsidRDefault="00777FB1" w:rsidP="00777FB1">
      <w:pPr>
        <w:pStyle w:val="PargrafodaLista"/>
        <w:numPr>
          <w:ilvl w:val="0"/>
          <w:numId w:val="9"/>
        </w:numPr>
        <w:autoSpaceDE w:val="0"/>
        <w:autoSpaceDN w:val="0"/>
        <w:adjustRightInd w:val="0"/>
        <w:spacing w:after="0" w:line="240" w:lineRule="auto"/>
        <w:rPr>
          <w:rFonts w:ascii="Verdana" w:hAnsi="Verdana" w:cs="CIDFont+F5"/>
        </w:rPr>
      </w:pPr>
      <w:r w:rsidRPr="003A0D34">
        <w:rPr>
          <w:rFonts w:ascii="Verdana" w:hAnsi="Verdana" w:cs="CIDFont+F5"/>
        </w:rPr>
        <w:t>O professor na função de magistério terá, na contagem de tempo de contribuição,</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5"/>
        </w:rPr>
        <w:t>um adicional de 17% se homem e de 20% se mulher, no tempo de serviço exercido até</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5"/>
        </w:rPr>
        <w:t>16/12/1998;</w:t>
      </w:r>
    </w:p>
    <w:p w:rsidR="00777FB1" w:rsidRPr="003A0D34" w:rsidRDefault="00777FB1" w:rsidP="00777FB1">
      <w:pPr>
        <w:pStyle w:val="PargrafodaLista"/>
        <w:numPr>
          <w:ilvl w:val="0"/>
          <w:numId w:val="9"/>
        </w:numPr>
        <w:autoSpaceDE w:val="0"/>
        <w:autoSpaceDN w:val="0"/>
        <w:adjustRightInd w:val="0"/>
        <w:spacing w:after="0" w:line="240" w:lineRule="auto"/>
        <w:rPr>
          <w:rFonts w:ascii="Verdana" w:hAnsi="Verdana" w:cs="CIDFont+F5"/>
        </w:rPr>
      </w:pPr>
      <w:r w:rsidRPr="003A0D34">
        <w:rPr>
          <w:rFonts w:ascii="Verdana" w:hAnsi="Verdana" w:cs="CIDFont+F5"/>
        </w:rPr>
        <w:t>O magistrado, membro do Ministério Público e Tribunal de Contas, terão na</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5"/>
        </w:rPr>
        <w:t>contagem de tempo de contribuição um adicional de 17% no tempo de serviço exercido</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5"/>
        </w:rPr>
        <w:t>até 16/12/1998;</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Regra para os servidores que ingressaram regularmente em cargo da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Administração Pública direta, autárquica e fundacional, até a data da publicação da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Emenda Constitucional nº 41/03, com proventos calculados com base na remuneração de</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final de carreira e com a paridade entre os reajustes de benefícios e dos salários dos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servidores ativos:</w:t>
      </w:r>
    </w:p>
    <w:p w:rsidR="00777FB1" w:rsidRPr="003A0D34" w:rsidRDefault="00777FB1" w:rsidP="00777FB1">
      <w:pPr>
        <w:pStyle w:val="PargrafodaLista"/>
        <w:numPr>
          <w:ilvl w:val="0"/>
          <w:numId w:val="9"/>
        </w:numPr>
        <w:autoSpaceDE w:val="0"/>
        <w:autoSpaceDN w:val="0"/>
        <w:adjustRightInd w:val="0"/>
        <w:spacing w:after="0" w:line="240" w:lineRule="auto"/>
        <w:rPr>
          <w:rFonts w:ascii="Verdana" w:hAnsi="Verdana" w:cs="CIDFont+F5"/>
        </w:rPr>
      </w:pPr>
      <w:r w:rsidRPr="003A0D34">
        <w:rPr>
          <w:rFonts w:ascii="Verdana" w:hAnsi="Verdana" w:cs="CIDFont+F5"/>
        </w:rPr>
        <w:t>60 ou 55 anos de idade, se homem ou mulher, respectivamente;</w:t>
      </w:r>
    </w:p>
    <w:p w:rsidR="00777FB1" w:rsidRPr="003A0D34" w:rsidRDefault="00777FB1" w:rsidP="00777FB1">
      <w:pPr>
        <w:pStyle w:val="PargrafodaLista"/>
        <w:numPr>
          <w:ilvl w:val="0"/>
          <w:numId w:val="9"/>
        </w:numPr>
        <w:autoSpaceDE w:val="0"/>
        <w:autoSpaceDN w:val="0"/>
        <w:adjustRightInd w:val="0"/>
        <w:spacing w:after="0" w:line="240" w:lineRule="auto"/>
        <w:rPr>
          <w:rFonts w:ascii="Verdana" w:hAnsi="Verdana" w:cs="CIDFont+F5"/>
        </w:rPr>
      </w:pPr>
      <w:r w:rsidRPr="003A0D34">
        <w:rPr>
          <w:rFonts w:ascii="Verdana" w:hAnsi="Verdana" w:cs="CIDFont+F5"/>
        </w:rPr>
        <w:t>35 ou 30 anos de contribuição, se homem ou mulher, respectivamente;</w:t>
      </w:r>
    </w:p>
    <w:p w:rsidR="00777FB1" w:rsidRPr="003A0D34" w:rsidRDefault="00777FB1" w:rsidP="00777FB1">
      <w:pPr>
        <w:pStyle w:val="PargrafodaLista"/>
        <w:numPr>
          <w:ilvl w:val="0"/>
          <w:numId w:val="9"/>
        </w:numPr>
        <w:autoSpaceDE w:val="0"/>
        <w:autoSpaceDN w:val="0"/>
        <w:adjustRightInd w:val="0"/>
        <w:spacing w:after="0" w:line="240" w:lineRule="auto"/>
        <w:rPr>
          <w:rFonts w:ascii="Verdana" w:hAnsi="Verdana" w:cs="CIDFont+F5"/>
        </w:rPr>
      </w:pPr>
      <w:r w:rsidRPr="003A0D34">
        <w:rPr>
          <w:rFonts w:ascii="Verdana" w:hAnsi="Verdana" w:cs="CIDFont+F5"/>
        </w:rPr>
        <w:t>20 anos de efetivo exercício no serviço público;</w:t>
      </w:r>
    </w:p>
    <w:p w:rsidR="00777FB1" w:rsidRPr="003A0D34" w:rsidRDefault="00777FB1" w:rsidP="00777FB1">
      <w:pPr>
        <w:pStyle w:val="PargrafodaLista"/>
        <w:numPr>
          <w:ilvl w:val="0"/>
          <w:numId w:val="9"/>
        </w:numPr>
        <w:autoSpaceDE w:val="0"/>
        <w:autoSpaceDN w:val="0"/>
        <w:adjustRightInd w:val="0"/>
        <w:spacing w:after="0" w:line="240" w:lineRule="auto"/>
        <w:rPr>
          <w:rFonts w:ascii="Verdana" w:hAnsi="Verdana" w:cs="CIDFont+F5"/>
        </w:rPr>
      </w:pPr>
      <w:r w:rsidRPr="003A0D34">
        <w:rPr>
          <w:rFonts w:ascii="Verdana" w:hAnsi="Verdana" w:cs="CIDFont+F5"/>
        </w:rPr>
        <w:t>10 anos de carreira e 5 anos de efetivo exercício no cargo em que se der a</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5"/>
        </w:rPr>
        <w:t>aposentadoria;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Regra para os servidores que ingressaram regularmente em cargo da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Administração Pública direta, autárquica e fundacional, até 16/12/1998, com proventos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integrais e com a paridade entre os reajustes de benefícios e dos salários dos servidores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ativos (regra instituída pela Emenda Constitucional nº 47/05):</w:t>
      </w:r>
    </w:p>
    <w:p w:rsidR="00777FB1" w:rsidRPr="003A0D34" w:rsidRDefault="00777FB1" w:rsidP="00777FB1">
      <w:pPr>
        <w:pStyle w:val="PargrafodaLista"/>
        <w:numPr>
          <w:ilvl w:val="0"/>
          <w:numId w:val="10"/>
        </w:numPr>
        <w:autoSpaceDE w:val="0"/>
        <w:autoSpaceDN w:val="0"/>
        <w:adjustRightInd w:val="0"/>
        <w:spacing w:after="0" w:line="240" w:lineRule="auto"/>
        <w:rPr>
          <w:rFonts w:ascii="Verdana" w:hAnsi="Verdana" w:cs="CIDFont+F5"/>
        </w:rPr>
      </w:pPr>
      <w:r w:rsidRPr="003A0D34">
        <w:rPr>
          <w:rFonts w:ascii="Verdana" w:hAnsi="Verdana" w:cs="CIDFont+F5"/>
        </w:rPr>
        <w:t>35 ou 30 anos de contribuição, se homem ou mulher, respectivamente;</w:t>
      </w:r>
    </w:p>
    <w:p w:rsidR="00777FB1" w:rsidRPr="003A0D34" w:rsidRDefault="00777FB1" w:rsidP="00777FB1">
      <w:pPr>
        <w:pStyle w:val="PargrafodaLista"/>
        <w:numPr>
          <w:ilvl w:val="0"/>
          <w:numId w:val="10"/>
        </w:numPr>
        <w:autoSpaceDE w:val="0"/>
        <w:autoSpaceDN w:val="0"/>
        <w:adjustRightInd w:val="0"/>
        <w:spacing w:after="0" w:line="240" w:lineRule="auto"/>
        <w:rPr>
          <w:rFonts w:ascii="Verdana" w:hAnsi="Verdana" w:cs="CIDFont+F5"/>
        </w:rPr>
      </w:pPr>
      <w:r w:rsidRPr="003A0D34">
        <w:rPr>
          <w:rFonts w:ascii="Verdana" w:hAnsi="Verdana" w:cs="CIDFont+F5"/>
        </w:rPr>
        <w:t>25 anos de efetivo exercício no serviço público;</w:t>
      </w:r>
    </w:p>
    <w:p w:rsidR="00777FB1" w:rsidRPr="003A0D34" w:rsidRDefault="00777FB1" w:rsidP="00777FB1">
      <w:pPr>
        <w:pStyle w:val="PargrafodaLista"/>
        <w:numPr>
          <w:ilvl w:val="0"/>
          <w:numId w:val="10"/>
        </w:numPr>
        <w:autoSpaceDE w:val="0"/>
        <w:autoSpaceDN w:val="0"/>
        <w:adjustRightInd w:val="0"/>
        <w:spacing w:after="0" w:line="240" w:lineRule="auto"/>
        <w:rPr>
          <w:rFonts w:ascii="Verdana" w:hAnsi="Verdana" w:cs="CIDFont+F5"/>
        </w:rPr>
      </w:pPr>
      <w:r w:rsidRPr="003A0D34">
        <w:rPr>
          <w:rFonts w:ascii="Verdana" w:hAnsi="Verdana" w:cs="CIDFont+F5"/>
        </w:rPr>
        <w:t>Idade mínima resultante da redução, relativamente aos limites estabelecidos no</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noProof/>
          <w:lang w:eastAsia="pt-BR"/>
        </w:rPr>
        <w:drawing>
          <wp:inline distT="0" distB="0" distL="0" distR="0" wp14:anchorId="08DEE354" wp14:editId="69C3B2FA">
            <wp:extent cx="3954780" cy="142240"/>
            <wp:effectExtent l="0" t="0" r="762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4780" cy="142240"/>
                    </a:xfrm>
                    <a:prstGeom prst="rect">
                      <a:avLst/>
                    </a:prstGeom>
                    <a:noFill/>
                    <a:ln>
                      <a:noFill/>
                    </a:ln>
                  </pic:spPr>
                </pic:pic>
              </a:graphicData>
            </a:graphic>
          </wp:inline>
        </w:drawing>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5"/>
        </w:rPr>
        <w:t>cada ano de contribuição que exceder 30 ou 35 anos de contribuição, conforme o sexo</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5"/>
        </w:rPr>
        <w:t>do servidor.</w:t>
      </w:r>
    </w:p>
    <w:p w:rsidR="00777FB1" w:rsidRPr="003A0D34" w:rsidRDefault="00777FB1" w:rsidP="00777FB1">
      <w:pPr>
        <w:autoSpaceDE w:val="0"/>
        <w:autoSpaceDN w:val="0"/>
        <w:adjustRightInd w:val="0"/>
        <w:spacing w:after="0" w:line="240" w:lineRule="auto"/>
        <w:rPr>
          <w:rFonts w:ascii="Verdana" w:hAnsi="Verdana" w:cs="CIDFont+F2"/>
        </w:rPr>
      </w:pPr>
    </w:p>
    <w:p w:rsidR="00777FB1" w:rsidRPr="003A0D34" w:rsidRDefault="00777FB1" w:rsidP="00777FB1">
      <w:pPr>
        <w:autoSpaceDE w:val="0"/>
        <w:autoSpaceDN w:val="0"/>
        <w:adjustRightInd w:val="0"/>
        <w:spacing w:after="0" w:line="240" w:lineRule="auto"/>
        <w:rPr>
          <w:rFonts w:ascii="Verdana" w:hAnsi="Verdana" w:cs="CIDFont+F2"/>
          <w:b/>
        </w:rPr>
      </w:pPr>
      <w:r w:rsidRPr="003A0D34">
        <w:rPr>
          <w:rFonts w:ascii="Verdana" w:hAnsi="Verdana" w:cs="CIDFont+F2"/>
          <w:b/>
        </w:rPr>
        <w:t>6. PREMISSAS ATUARIAIS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As hipóteses atuariais compreendem o conjunto de premissas que serão utilizadas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na reavaliação para determinar o comportamento das variáveis envolvidas na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quantificação das obrigações previdenciárias do RPPS.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As hipóteses atuariais empregadas neste estudo foram definidas em conformidade</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com o disposto na Portaria nº 403/08:</w:t>
      </w:r>
    </w:p>
    <w:p w:rsidR="00777FB1" w:rsidRPr="003A0D34" w:rsidRDefault="00777FB1" w:rsidP="00777FB1">
      <w:pPr>
        <w:pStyle w:val="PargrafodaLista"/>
        <w:numPr>
          <w:ilvl w:val="0"/>
          <w:numId w:val="7"/>
        </w:numPr>
        <w:autoSpaceDE w:val="0"/>
        <w:autoSpaceDN w:val="0"/>
        <w:adjustRightInd w:val="0"/>
        <w:spacing w:after="0" w:line="240" w:lineRule="auto"/>
        <w:rPr>
          <w:rFonts w:ascii="Verdana" w:hAnsi="Verdana" w:cs="CIDFont+F5"/>
        </w:rPr>
      </w:pPr>
      <w:r w:rsidRPr="003A0D34">
        <w:rPr>
          <w:rFonts w:ascii="Verdana" w:hAnsi="Verdana" w:cs="CIDFont+F5"/>
        </w:rPr>
        <w:t>Taxa anual de juros real a ser utilizada na determinação dos valores presentes</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5"/>
        </w:rPr>
        <w:t>atuariais das obrigações e receitas futuras do regime próprio, bem como nas projeções</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5"/>
        </w:rPr>
        <w:t>de ganhos financeiros futuros do patrimônio do regime próprio: 6% a.a.;</w:t>
      </w:r>
    </w:p>
    <w:p w:rsidR="00777FB1" w:rsidRPr="003A0D34" w:rsidRDefault="00777FB1" w:rsidP="00777FB1">
      <w:pPr>
        <w:pStyle w:val="PargrafodaLista"/>
        <w:numPr>
          <w:ilvl w:val="0"/>
          <w:numId w:val="7"/>
        </w:numPr>
        <w:autoSpaceDE w:val="0"/>
        <w:autoSpaceDN w:val="0"/>
        <w:adjustRightInd w:val="0"/>
        <w:spacing w:after="0" w:line="240" w:lineRule="auto"/>
        <w:rPr>
          <w:rFonts w:ascii="Verdana" w:hAnsi="Verdana" w:cs="CIDFont+F5"/>
        </w:rPr>
      </w:pPr>
      <w:r w:rsidRPr="003A0D34">
        <w:rPr>
          <w:rFonts w:ascii="Verdana" w:hAnsi="Verdana" w:cs="CIDFont+F5"/>
        </w:rPr>
        <w:t>Tábuas biométricas que serão aplicadas para refletir a expectativa de ocorrência</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5"/>
        </w:rPr>
        <w:t>de eventos de mortalidade, sobrevivência e entrada em invalidez:</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9"/>
          <w:b/>
        </w:rPr>
        <w:t xml:space="preserve">o </w:t>
      </w:r>
      <w:r w:rsidRPr="003A0D34">
        <w:rPr>
          <w:rFonts w:ascii="Verdana" w:hAnsi="Verdana" w:cs="CIDFont+F5"/>
        </w:rPr>
        <w:t>Sobrevivência de válidos: IBGE-2013, obtida no site do Ministério do</w:t>
      </w:r>
    </w:p>
    <w:p w:rsidR="00777FB1" w:rsidRPr="003A0D34" w:rsidRDefault="00777FB1" w:rsidP="00777FB1">
      <w:pPr>
        <w:pStyle w:val="PargrafodaLista"/>
        <w:numPr>
          <w:ilvl w:val="0"/>
          <w:numId w:val="7"/>
        </w:numPr>
        <w:autoSpaceDE w:val="0"/>
        <w:autoSpaceDN w:val="0"/>
        <w:adjustRightInd w:val="0"/>
        <w:spacing w:after="0" w:line="240" w:lineRule="auto"/>
        <w:rPr>
          <w:rFonts w:ascii="Verdana" w:hAnsi="Verdana" w:cs="CIDFont+F5"/>
        </w:rPr>
      </w:pPr>
      <w:r w:rsidRPr="003A0D34">
        <w:rPr>
          <w:rFonts w:ascii="Verdana" w:hAnsi="Verdana" w:cs="CIDFont+F5"/>
        </w:rPr>
        <w:t>Trabalho e da Previdência Social - MTPS;</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9"/>
          <w:b/>
        </w:rPr>
        <w:t xml:space="preserve">o </w:t>
      </w:r>
      <w:r w:rsidRPr="003A0D34">
        <w:rPr>
          <w:rFonts w:ascii="Verdana" w:hAnsi="Verdana" w:cs="CIDFont+F5"/>
        </w:rPr>
        <w:t>Mortalidade de válidos: IBGE-2013;</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9"/>
          <w:b/>
        </w:rPr>
        <w:t>o</w:t>
      </w:r>
      <w:r w:rsidRPr="003A0D34">
        <w:rPr>
          <w:rFonts w:ascii="Verdana" w:hAnsi="Verdana" w:cs="CIDFont+F9"/>
        </w:rPr>
        <w:t xml:space="preserve"> </w:t>
      </w:r>
      <w:r w:rsidRPr="003A0D34">
        <w:rPr>
          <w:rFonts w:ascii="Verdana" w:hAnsi="Verdana" w:cs="CIDFont+F5"/>
        </w:rPr>
        <w:t>Sobrevivência de inválidos: IBGE-2013;</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9"/>
          <w:b/>
        </w:rPr>
        <w:t>o</w:t>
      </w:r>
      <w:r w:rsidRPr="003A0D34">
        <w:rPr>
          <w:rFonts w:ascii="Verdana" w:hAnsi="Verdana" w:cs="CIDFont+F9"/>
        </w:rPr>
        <w:t xml:space="preserve"> </w:t>
      </w:r>
      <w:r w:rsidRPr="003A0D34">
        <w:rPr>
          <w:rFonts w:ascii="Verdana" w:hAnsi="Verdana" w:cs="CIDFont+F5"/>
        </w:rPr>
        <w:t>Mortalidade de inválidos: IBGE-2013;</w:t>
      </w:r>
    </w:p>
    <w:p w:rsidR="00777FB1" w:rsidRPr="003A0D34" w:rsidRDefault="00777FB1" w:rsidP="00777FB1">
      <w:pPr>
        <w:pStyle w:val="PargrafodaLista"/>
        <w:autoSpaceDE w:val="0"/>
        <w:autoSpaceDN w:val="0"/>
        <w:adjustRightInd w:val="0"/>
        <w:spacing w:after="0" w:line="240" w:lineRule="auto"/>
        <w:rPr>
          <w:rFonts w:ascii="Verdana" w:hAnsi="Verdana" w:cs="CIDFont+F5"/>
        </w:rPr>
      </w:pPr>
      <w:r w:rsidRPr="003A0D34">
        <w:rPr>
          <w:rFonts w:ascii="Verdana" w:hAnsi="Verdana" w:cs="CIDFont+F9"/>
          <w:b/>
        </w:rPr>
        <w:t>o</w:t>
      </w:r>
      <w:r w:rsidRPr="003A0D34">
        <w:rPr>
          <w:rFonts w:ascii="Verdana" w:hAnsi="Verdana" w:cs="CIDFont+F9"/>
        </w:rPr>
        <w:t xml:space="preserve"> </w:t>
      </w:r>
      <w:r w:rsidRPr="003A0D34">
        <w:rPr>
          <w:rFonts w:ascii="Verdana" w:hAnsi="Verdana" w:cs="CIDFont+F5"/>
        </w:rPr>
        <w:t>Entrada em Invalidez: Álvaro Vindas;</w:t>
      </w:r>
    </w:p>
    <w:p w:rsidR="00777FB1" w:rsidRPr="003A0D34" w:rsidRDefault="00777FB1" w:rsidP="00777FB1">
      <w:pPr>
        <w:pStyle w:val="PargrafodaLista"/>
        <w:numPr>
          <w:ilvl w:val="0"/>
          <w:numId w:val="7"/>
        </w:numPr>
        <w:autoSpaceDE w:val="0"/>
        <w:autoSpaceDN w:val="0"/>
        <w:adjustRightInd w:val="0"/>
        <w:spacing w:after="0" w:line="240" w:lineRule="auto"/>
        <w:rPr>
          <w:rFonts w:ascii="Verdana" w:hAnsi="Verdana" w:cs="CIDFont+F5"/>
        </w:rPr>
      </w:pPr>
      <w:r w:rsidRPr="003A0D34">
        <w:rPr>
          <w:rFonts w:ascii="Verdana" w:hAnsi="Verdana" w:cs="CIDFont+F5"/>
        </w:rPr>
        <w:t>Hipótese de família-padrão para o pagamento de pensão: cônjuge de mesma idade</w:t>
      </w:r>
    </w:p>
    <w:p w:rsidR="00777FB1" w:rsidRPr="003A0D34" w:rsidRDefault="00777FB1" w:rsidP="009A2609">
      <w:pPr>
        <w:pStyle w:val="PargrafodaLista"/>
        <w:autoSpaceDE w:val="0"/>
        <w:autoSpaceDN w:val="0"/>
        <w:adjustRightInd w:val="0"/>
        <w:spacing w:after="0" w:line="240" w:lineRule="auto"/>
        <w:rPr>
          <w:rFonts w:ascii="Verdana" w:hAnsi="Verdana" w:cs="CIDFont+F5"/>
        </w:rPr>
      </w:pPr>
      <w:r w:rsidRPr="003A0D34">
        <w:rPr>
          <w:rFonts w:ascii="Verdana" w:hAnsi="Verdana" w:cs="CIDFont+F5"/>
        </w:rPr>
        <w:t>do servidor;</w:t>
      </w:r>
    </w:p>
    <w:p w:rsidR="00777FB1" w:rsidRPr="003A0D34" w:rsidRDefault="00777FB1" w:rsidP="00777FB1">
      <w:pPr>
        <w:pStyle w:val="PargrafodaLista"/>
        <w:numPr>
          <w:ilvl w:val="0"/>
          <w:numId w:val="7"/>
        </w:numPr>
        <w:autoSpaceDE w:val="0"/>
        <w:autoSpaceDN w:val="0"/>
        <w:adjustRightInd w:val="0"/>
        <w:spacing w:after="0" w:line="240" w:lineRule="auto"/>
        <w:rPr>
          <w:rFonts w:ascii="Verdana" w:hAnsi="Verdana" w:cs="CIDFont+F5"/>
        </w:rPr>
      </w:pPr>
      <w:r w:rsidRPr="003A0D34">
        <w:rPr>
          <w:rFonts w:ascii="Verdana" w:hAnsi="Verdana" w:cs="CIDFont+F5"/>
        </w:rPr>
        <w:t>Crescimento Salarial por Mérito: 1% ao ano;</w:t>
      </w:r>
    </w:p>
    <w:p w:rsidR="00777FB1" w:rsidRPr="003A0D34" w:rsidRDefault="00777FB1" w:rsidP="00777FB1">
      <w:pPr>
        <w:pStyle w:val="PargrafodaLista"/>
        <w:numPr>
          <w:ilvl w:val="0"/>
          <w:numId w:val="7"/>
        </w:numPr>
        <w:autoSpaceDE w:val="0"/>
        <w:autoSpaceDN w:val="0"/>
        <w:adjustRightInd w:val="0"/>
        <w:spacing w:after="0" w:line="240" w:lineRule="auto"/>
        <w:rPr>
          <w:rFonts w:ascii="Verdana" w:hAnsi="Verdana" w:cs="CIDFont+F5"/>
        </w:rPr>
      </w:pPr>
      <w:r w:rsidRPr="003A0D34">
        <w:rPr>
          <w:rFonts w:ascii="Verdana" w:hAnsi="Verdana" w:cs="CIDFont+F5"/>
        </w:rPr>
        <w:t>Crescimento Salarial por Produtividade: não há;</w:t>
      </w:r>
    </w:p>
    <w:p w:rsidR="00777FB1" w:rsidRPr="003A0D34" w:rsidRDefault="00777FB1" w:rsidP="00777FB1">
      <w:pPr>
        <w:pStyle w:val="PargrafodaLista"/>
        <w:numPr>
          <w:ilvl w:val="0"/>
          <w:numId w:val="7"/>
        </w:numPr>
        <w:autoSpaceDE w:val="0"/>
        <w:autoSpaceDN w:val="0"/>
        <w:adjustRightInd w:val="0"/>
        <w:spacing w:after="0" w:line="240" w:lineRule="auto"/>
        <w:rPr>
          <w:rFonts w:ascii="Verdana" w:hAnsi="Verdana" w:cs="CIDFont+F5"/>
        </w:rPr>
      </w:pPr>
      <w:r w:rsidRPr="003A0D34">
        <w:rPr>
          <w:rFonts w:ascii="Verdana" w:hAnsi="Verdana" w:cs="CIDFont+F5"/>
        </w:rPr>
        <w:t>Crescimento Real dos Benefícios: sem crescimento anual;</w:t>
      </w:r>
    </w:p>
    <w:p w:rsidR="00777FB1" w:rsidRPr="003A0D34" w:rsidRDefault="00777FB1" w:rsidP="00777FB1">
      <w:pPr>
        <w:pStyle w:val="PargrafodaLista"/>
        <w:numPr>
          <w:ilvl w:val="0"/>
          <w:numId w:val="7"/>
        </w:numPr>
        <w:autoSpaceDE w:val="0"/>
        <w:autoSpaceDN w:val="0"/>
        <w:adjustRightInd w:val="0"/>
        <w:spacing w:after="0" w:line="240" w:lineRule="auto"/>
        <w:rPr>
          <w:rFonts w:ascii="Verdana" w:hAnsi="Verdana" w:cs="CIDFont+F5"/>
        </w:rPr>
      </w:pPr>
      <w:r w:rsidRPr="003A0D34">
        <w:rPr>
          <w:rFonts w:ascii="Verdana" w:hAnsi="Verdana" w:cs="CIDFont+F5"/>
        </w:rPr>
        <w:t>Fator de Capacidade Salarial: 0,980, que equivale a uma inflação anual de 4,50%;</w:t>
      </w:r>
    </w:p>
    <w:p w:rsidR="009A2609" w:rsidRPr="003A0D34" w:rsidRDefault="00777FB1" w:rsidP="00777FB1">
      <w:pPr>
        <w:pStyle w:val="PargrafodaLista"/>
        <w:numPr>
          <w:ilvl w:val="0"/>
          <w:numId w:val="7"/>
        </w:numPr>
        <w:autoSpaceDE w:val="0"/>
        <w:autoSpaceDN w:val="0"/>
        <w:adjustRightInd w:val="0"/>
        <w:spacing w:after="0" w:line="240" w:lineRule="auto"/>
        <w:rPr>
          <w:rFonts w:ascii="Verdana" w:hAnsi="Verdana" w:cs="CIDFont+F5"/>
        </w:rPr>
      </w:pPr>
      <w:r w:rsidRPr="003A0D34">
        <w:rPr>
          <w:rFonts w:ascii="Verdana" w:hAnsi="Verdana" w:cs="CIDFont+F5"/>
        </w:rPr>
        <w:t>Fator de Capacidade de Benefícios: 0,980, que equivale a uma inflação anual de</w:t>
      </w:r>
      <w:r w:rsidR="009A2609" w:rsidRPr="003A0D34">
        <w:rPr>
          <w:rFonts w:ascii="Verdana" w:hAnsi="Verdana" w:cs="CIDFont+F5"/>
        </w:rPr>
        <w:t xml:space="preserve"> </w:t>
      </w:r>
      <w:r w:rsidRPr="003A0D34">
        <w:rPr>
          <w:rFonts w:ascii="Verdana" w:hAnsi="Verdana" w:cs="CIDFont+F5"/>
        </w:rPr>
        <w:t>4,50%;</w:t>
      </w:r>
    </w:p>
    <w:p w:rsidR="00777FB1" w:rsidRPr="003A0D34" w:rsidRDefault="00777FB1" w:rsidP="009A2609">
      <w:pPr>
        <w:pStyle w:val="PargrafodaLista"/>
        <w:numPr>
          <w:ilvl w:val="0"/>
          <w:numId w:val="7"/>
        </w:numPr>
        <w:autoSpaceDE w:val="0"/>
        <w:autoSpaceDN w:val="0"/>
        <w:adjustRightInd w:val="0"/>
        <w:spacing w:after="0" w:line="240" w:lineRule="auto"/>
        <w:rPr>
          <w:rFonts w:ascii="Verdana" w:hAnsi="Verdana" w:cs="CIDFont+F5"/>
        </w:rPr>
      </w:pPr>
      <w:r w:rsidRPr="003A0D34">
        <w:rPr>
          <w:rFonts w:ascii="Verdana" w:hAnsi="Verdana" w:cs="CIDFont+F5"/>
        </w:rPr>
        <w:t>Indexador do sistema previdencial: IPCA;</w:t>
      </w:r>
    </w:p>
    <w:p w:rsidR="00777FB1" w:rsidRPr="003A0D34" w:rsidRDefault="00777FB1" w:rsidP="009A2609">
      <w:pPr>
        <w:pStyle w:val="PargrafodaLista"/>
        <w:numPr>
          <w:ilvl w:val="0"/>
          <w:numId w:val="7"/>
        </w:numPr>
        <w:autoSpaceDE w:val="0"/>
        <w:autoSpaceDN w:val="0"/>
        <w:adjustRightInd w:val="0"/>
        <w:spacing w:after="0" w:line="240" w:lineRule="auto"/>
        <w:rPr>
          <w:rFonts w:ascii="Verdana" w:hAnsi="Verdana" w:cs="CIDFont+F5"/>
        </w:rPr>
      </w:pPr>
      <w:r w:rsidRPr="003A0D34">
        <w:rPr>
          <w:rFonts w:ascii="Verdana" w:hAnsi="Verdana" w:cs="CIDFont+F5"/>
        </w:rPr>
        <w:t>Rotatividade (turn-over): 0% ao ano;</w:t>
      </w:r>
    </w:p>
    <w:p w:rsidR="00777FB1" w:rsidRPr="003A0D34" w:rsidRDefault="00777FB1" w:rsidP="009A2609">
      <w:pPr>
        <w:pStyle w:val="PargrafodaLista"/>
        <w:numPr>
          <w:ilvl w:val="0"/>
          <w:numId w:val="7"/>
        </w:numPr>
        <w:autoSpaceDE w:val="0"/>
        <w:autoSpaceDN w:val="0"/>
        <w:adjustRightInd w:val="0"/>
        <w:spacing w:after="0" w:line="240" w:lineRule="auto"/>
        <w:rPr>
          <w:rFonts w:ascii="Verdana" w:hAnsi="Verdana" w:cs="CIDFont+F5"/>
        </w:rPr>
      </w:pPr>
      <w:r w:rsidRPr="003A0D34">
        <w:rPr>
          <w:rFonts w:ascii="Verdana" w:hAnsi="Verdana" w:cs="CIDFont+F5"/>
        </w:rPr>
        <w:t>Reposição do Contingente de Servidores Ativos: não usada;</w:t>
      </w:r>
    </w:p>
    <w:p w:rsidR="00777FB1" w:rsidRPr="003A0D34" w:rsidRDefault="00777FB1" w:rsidP="009A2609">
      <w:pPr>
        <w:pStyle w:val="PargrafodaLista"/>
        <w:numPr>
          <w:ilvl w:val="0"/>
          <w:numId w:val="7"/>
        </w:numPr>
        <w:autoSpaceDE w:val="0"/>
        <w:autoSpaceDN w:val="0"/>
        <w:adjustRightInd w:val="0"/>
        <w:spacing w:after="0" w:line="240" w:lineRule="auto"/>
        <w:rPr>
          <w:rFonts w:ascii="Verdana" w:hAnsi="Verdana" w:cs="CIDFont+F5"/>
        </w:rPr>
      </w:pPr>
      <w:r w:rsidRPr="003A0D34">
        <w:rPr>
          <w:rFonts w:ascii="Verdana" w:hAnsi="Verdana" w:cs="CIDFont+F5"/>
        </w:rPr>
        <w:t>Idade de início da fase de contribuição ao regime previdenciário, para efeito de</w:t>
      </w:r>
    </w:p>
    <w:p w:rsidR="00777FB1" w:rsidRPr="003A0D34" w:rsidRDefault="00777FB1" w:rsidP="009A2609">
      <w:pPr>
        <w:pStyle w:val="PargrafodaLista"/>
        <w:autoSpaceDE w:val="0"/>
        <w:autoSpaceDN w:val="0"/>
        <w:adjustRightInd w:val="0"/>
        <w:spacing w:after="0" w:line="240" w:lineRule="auto"/>
        <w:rPr>
          <w:rFonts w:ascii="Verdana" w:hAnsi="Verdana" w:cs="CIDFont+F5"/>
        </w:rPr>
      </w:pPr>
      <w:r w:rsidRPr="003A0D34">
        <w:rPr>
          <w:rFonts w:ascii="Verdana" w:hAnsi="Verdana" w:cs="CIDFont+F5"/>
        </w:rPr>
        <w:t>cálculo do tempo passado de cada servidor e da compensação previdenciária: 25 anos;</w:t>
      </w:r>
    </w:p>
    <w:p w:rsidR="00777FB1" w:rsidRPr="003A0D34" w:rsidRDefault="00777FB1" w:rsidP="009A2609">
      <w:pPr>
        <w:pStyle w:val="PargrafodaLista"/>
        <w:numPr>
          <w:ilvl w:val="0"/>
          <w:numId w:val="7"/>
        </w:numPr>
        <w:autoSpaceDE w:val="0"/>
        <w:autoSpaceDN w:val="0"/>
        <w:adjustRightInd w:val="0"/>
        <w:spacing w:after="0" w:line="240" w:lineRule="auto"/>
        <w:rPr>
          <w:rFonts w:ascii="Verdana" w:hAnsi="Verdana" w:cs="CIDFont+F5"/>
        </w:rPr>
      </w:pPr>
      <w:r w:rsidRPr="003A0D34">
        <w:rPr>
          <w:rFonts w:ascii="Verdana" w:hAnsi="Verdana" w:cs="CIDFont+F5"/>
        </w:rPr>
        <w:t>Custo Administrativo: pago pelo Tesouro Municipal;</w:t>
      </w:r>
    </w:p>
    <w:p w:rsidR="00777FB1" w:rsidRPr="003A0D34" w:rsidRDefault="00777FB1" w:rsidP="009A2609">
      <w:pPr>
        <w:pStyle w:val="PargrafodaLista"/>
        <w:numPr>
          <w:ilvl w:val="0"/>
          <w:numId w:val="7"/>
        </w:numPr>
        <w:autoSpaceDE w:val="0"/>
        <w:autoSpaceDN w:val="0"/>
        <w:adjustRightInd w:val="0"/>
        <w:spacing w:after="0" w:line="240" w:lineRule="auto"/>
        <w:rPr>
          <w:rFonts w:ascii="Verdana" w:hAnsi="Verdana" w:cs="CIDFont+F5"/>
        </w:rPr>
      </w:pPr>
      <w:r w:rsidRPr="003A0D34">
        <w:rPr>
          <w:rFonts w:ascii="Verdana" w:hAnsi="Verdana" w:cs="CIDFont+F5"/>
        </w:rPr>
        <w:t>Cálculo da data de entrada em aposentadoria programada: primeira elegibilidade.</w:t>
      </w:r>
    </w:p>
    <w:p w:rsidR="009A2609" w:rsidRPr="003A0D34" w:rsidRDefault="009A2609" w:rsidP="00777FB1">
      <w:pPr>
        <w:autoSpaceDE w:val="0"/>
        <w:autoSpaceDN w:val="0"/>
        <w:adjustRightInd w:val="0"/>
        <w:spacing w:after="0" w:line="240" w:lineRule="auto"/>
        <w:rPr>
          <w:rFonts w:ascii="Verdana" w:hAnsi="Verdana" w:cs="CIDFont+F2"/>
        </w:rPr>
      </w:pPr>
    </w:p>
    <w:p w:rsidR="00777FB1" w:rsidRPr="003A0D34" w:rsidRDefault="00777FB1" w:rsidP="00777FB1">
      <w:pPr>
        <w:autoSpaceDE w:val="0"/>
        <w:autoSpaceDN w:val="0"/>
        <w:adjustRightInd w:val="0"/>
        <w:spacing w:after="0" w:line="240" w:lineRule="auto"/>
        <w:rPr>
          <w:rFonts w:ascii="Verdana" w:hAnsi="Verdana" w:cs="CIDFont+F2"/>
          <w:b/>
        </w:rPr>
      </w:pPr>
      <w:r w:rsidRPr="003A0D34">
        <w:rPr>
          <w:rFonts w:ascii="Verdana" w:hAnsi="Verdana" w:cs="CIDFont+F2"/>
          <w:b/>
        </w:rPr>
        <w:t>7. REGIMES ATUARIAIS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Os regimes financeiros (atuariais) utilizados na presente reavaliação foram os de</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capitalização para as aposentadorias programadas e reversões, de capitais de cobertura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para as aposentadorias por invalidez, reversões e pensões de ativo.</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As definições para esses regimes são aquelas tradicionalmente adotadas na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literatura universal sobre o assunto. O regime de capitalização pressupõe a formação de</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reservas financeiras de longo prazo, geradas a partir das contribuições do ente público e</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dos servidores, bem como dos rendimentos financeiros auferidos a partir do investimento</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em mercado dessas contribuições.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O regime de capitais de cobertura prevê a constituição das reservas matemáticas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dos benefícios que se estima serem concedidos ao longo do próximo ano, enquanto que o</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regime financeiro de repartição simples se caracteriza pela contemporaneidade entre as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receitas e despesas previdenciárias, sendo as alíquotas de contribuição são definidas 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cada período de forma a custear integralmente os benefícios pagos no mesmo período.</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Nesse regime não são constituídas reservas e as receitas auferidas no período são</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integralmente utilizadas para o pagamento dos benefícios do mesmo período.</w:t>
      </w:r>
    </w:p>
    <w:p w:rsidR="009A2609" w:rsidRPr="003A0D34" w:rsidRDefault="009A2609" w:rsidP="00777FB1">
      <w:pPr>
        <w:autoSpaceDE w:val="0"/>
        <w:autoSpaceDN w:val="0"/>
        <w:adjustRightInd w:val="0"/>
        <w:spacing w:after="0" w:line="240" w:lineRule="auto"/>
        <w:rPr>
          <w:rFonts w:ascii="Verdana" w:hAnsi="Verdana" w:cs="CIDFont+F2"/>
        </w:rPr>
      </w:pPr>
    </w:p>
    <w:p w:rsidR="00777FB1" w:rsidRPr="003A0D34" w:rsidRDefault="00777FB1" w:rsidP="00777FB1">
      <w:pPr>
        <w:autoSpaceDE w:val="0"/>
        <w:autoSpaceDN w:val="0"/>
        <w:adjustRightInd w:val="0"/>
        <w:spacing w:after="0" w:line="240" w:lineRule="auto"/>
        <w:rPr>
          <w:rFonts w:ascii="Verdana" w:hAnsi="Verdana" w:cs="CIDFont+F2"/>
          <w:b/>
        </w:rPr>
      </w:pPr>
      <w:r w:rsidRPr="003A0D34">
        <w:rPr>
          <w:rFonts w:ascii="Verdana" w:hAnsi="Verdana" w:cs="CIDFont+F2"/>
          <w:b/>
        </w:rPr>
        <w:t>8. DESCRIÇÃO DO CADASTRO</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O cadastro utilizado na reavaliação atuarial contém as informações do grupo de</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segurados vinculado ao RPPS, sendo todas as informações referentes a dezembro de</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2015.</w:t>
      </w:r>
    </w:p>
    <w:p w:rsidR="009A2609" w:rsidRPr="003A0D34" w:rsidRDefault="009A2609" w:rsidP="00777FB1">
      <w:pPr>
        <w:autoSpaceDE w:val="0"/>
        <w:autoSpaceDN w:val="0"/>
        <w:adjustRightInd w:val="0"/>
        <w:spacing w:after="0" w:line="240" w:lineRule="auto"/>
        <w:rPr>
          <w:rFonts w:ascii="Verdana" w:hAnsi="Verdana" w:cs="CIDFont+F2"/>
        </w:rPr>
      </w:pPr>
    </w:p>
    <w:p w:rsidR="00777FB1" w:rsidRPr="003A0D34" w:rsidRDefault="00777FB1" w:rsidP="00777FB1">
      <w:pPr>
        <w:autoSpaceDE w:val="0"/>
        <w:autoSpaceDN w:val="0"/>
        <w:adjustRightInd w:val="0"/>
        <w:spacing w:after="0" w:line="240" w:lineRule="auto"/>
        <w:rPr>
          <w:rFonts w:ascii="Verdana" w:hAnsi="Verdana" w:cs="CIDFont+F2"/>
          <w:b/>
        </w:rPr>
      </w:pPr>
      <w:r w:rsidRPr="003A0D34">
        <w:rPr>
          <w:rFonts w:ascii="Verdana" w:hAnsi="Verdana" w:cs="CIDFont+F2"/>
          <w:b/>
        </w:rPr>
        <w:t>9. ESTATÍSTICAS DO UNIVERSO DE SEGURADOS DO RPPS</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Esta reavaliação contemplou o universo de 137.090 servidores ativos com vínculo</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efetivo, 72.736 inativos e 19.483 grupos de pensão, cujas estatísticas detalhadas foram</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apresentadas no Relatório de Análise dos Dados Cadastrais IPREM, entregue como</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produto desta etapa.</w:t>
      </w:r>
    </w:p>
    <w:p w:rsidR="00777FB1" w:rsidRPr="003A0D34" w:rsidRDefault="00777FB1" w:rsidP="00777FB1">
      <w:pPr>
        <w:autoSpaceDE w:val="0"/>
        <w:autoSpaceDN w:val="0"/>
        <w:adjustRightInd w:val="0"/>
        <w:spacing w:after="0" w:line="240" w:lineRule="auto"/>
        <w:rPr>
          <w:rFonts w:ascii="Verdana" w:hAnsi="Verdana" w:cs="CIDFont+F5"/>
        </w:rPr>
      </w:pPr>
      <w:r w:rsidRPr="003A0D34">
        <w:rPr>
          <w:rFonts w:ascii="Verdana" w:hAnsi="Verdana" w:cs="CIDFont+F5"/>
        </w:rPr>
        <w:t>Um resumo das características dos segurados está apresentado a seguir.</w:t>
      </w:r>
    </w:p>
    <w:p w:rsidR="009A2609" w:rsidRPr="003A0D34" w:rsidRDefault="009A2609" w:rsidP="00777FB1">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20D37132" wp14:editId="6AAA460E">
            <wp:extent cx="4025900" cy="700405"/>
            <wp:effectExtent l="0" t="0" r="0" b="444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0" cy="700405"/>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2"/>
          <w:b/>
        </w:rPr>
      </w:pPr>
    </w:p>
    <w:p w:rsidR="009A2609" w:rsidRPr="003A0D34" w:rsidRDefault="009A2609" w:rsidP="009A2609">
      <w:pPr>
        <w:autoSpaceDE w:val="0"/>
        <w:autoSpaceDN w:val="0"/>
        <w:adjustRightInd w:val="0"/>
        <w:spacing w:after="0" w:line="240" w:lineRule="auto"/>
        <w:rPr>
          <w:rFonts w:ascii="Verdana" w:hAnsi="Verdana" w:cs="CIDFont+F2"/>
          <w:b/>
        </w:rPr>
      </w:pPr>
      <w:r w:rsidRPr="003A0D34">
        <w:rPr>
          <w:rFonts w:ascii="Verdana" w:hAnsi="Verdana" w:cs="CIDFont+F2"/>
          <w:b/>
        </w:rPr>
        <w:t>10. CONSISTÊNCIA DOS DADOS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Os dados utilizados nesta reavaliação atuarial foram submetidos aos processos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usuais de análise e crítica de dados.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As informações foram analisadas através de testes de consistência e consideradas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de boa qualidade.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Os dados relativos ao tempo de contribuição para outros regimes dos servidores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ativos que não foram informados pelo instituto tiveram que ser estimados com base nas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disposições legais pertinentes.</w:t>
      </w:r>
    </w:p>
    <w:p w:rsidR="009A2609" w:rsidRPr="003A0D34" w:rsidRDefault="009A2609" w:rsidP="009A2609">
      <w:pPr>
        <w:autoSpaceDE w:val="0"/>
        <w:autoSpaceDN w:val="0"/>
        <w:adjustRightInd w:val="0"/>
        <w:spacing w:after="0" w:line="240" w:lineRule="auto"/>
        <w:rPr>
          <w:rFonts w:ascii="Verdana" w:hAnsi="Verdana" w:cs="CIDFont+F2"/>
        </w:rPr>
      </w:pPr>
    </w:p>
    <w:p w:rsidR="009A2609" w:rsidRPr="003A0D34" w:rsidRDefault="009A2609" w:rsidP="009A2609">
      <w:pPr>
        <w:autoSpaceDE w:val="0"/>
        <w:autoSpaceDN w:val="0"/>
        <w:adjustRightInd w:val="0"/>
        <w:spacing w:after="0" w:line="240" w:lineRule="auto"/>
        <w:rPr>
          <w:rFonts w:ascii="Verdana" w:hAnsi="Verdana" w:cs="CIDFont+F2"/>
          <w:b/>
        </w:rPr>
      </w:pPr>
      <w:r w:rsidRPr="003A0D34">
        <w:rPr>
          <w:rFonts w:ascii="Verdana" w:hAnsi="Verdana" w:cs="CIDFont+F2"/>
          <w:b/>
        </w:rPr>
        <w:t>11. PASSIVO ATUARIAL</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 Quadro seguinte apresenta o balanço atuarial calculado com base nas regras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cálculo, elegibilidades e nas alíquotas vigentes em 31/12/2015, conforme informações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enviadas pelo órgão gestor do RPPS.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 balanço atuarial contempla apenas os benefícios estruturados em regime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financeiro de capitalização.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 plano de custeio utilizado no cálculo da situação atuarial do Instituto é composto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pelas seguintes alíquotas:</w:t>
      </w:r>
    </w:p>
    <w:p w:rsidR="009A2609" w:rsidRPr="003A0D34" w:rsidRDefault="009A2609" w:rsidP="009A2609">
      <w:pPr>
        <w:pStyle w:val="PargrafodaLista"/>
        <w:numPr>
          <w:ilvl w:val="0"/>
          <w:numId w:val="11"/>
        </w:numPr>
        <w:autoSpaceDE w:val="0"/>
        <w:autoSpaceDN w:val="0"/>
        <w:adjustRightInd w:val="0"/>
        <w:spacing w:after="0" w:line="240" w:lineRule="auto"/>
        <w:rPr>
          <w:rFonts w:ascii="Verdana" w:hAnsi="Verdana" w:cs="CIDFont+F5"/>
        </w:rPr>
      </w:pPr>
      <w:r w:rsidRPr="003A0D34">
        <w:rPr>
          <w:rFonts w:ascii="Verdana" w:hAnsi="Verdana" w:cs="CIDFont+F5"/>
        </w:rPr>
        <w:t>11,00% para os servidores ativos, incidentes sobre a totalidade da remuneração;</w:t>
      </w:r>
    </w:p>
    <w:p w:rsidR="009A2609" w:rsidRPr="003A0D34" w:rsidRDefault="009A2609" w:rsidP="009A2609">
      <w:pPr>
        <w:pStyle w:val="PargrafodaLista"/>
        <w:numPr>
          <w:ilvl w:val="0"/>
          <w:numId w:val="11"/>
        </w:numPr>
        <w:autoSpaceDE w:val="0"/>
        <w:autoSpaceDN w:val="0"/>
        <w:adjustRightInd w:val="0"/>
        <w:spacing w:after="0" w:line="240" w:lineRule="auto"/>
        <w:rPr>
          <w:rFonts w:ascii="Verdana" w:hAnsi="Verdana" w:cs="CIDFont+F5"/>
        </w:rPr>
      </w:pPr>
      <w:r w:rsidRPr="003A0D34">
        <w:rPr>
          <w:rFonts w:ascii="Verdana" w:hAnsi="Verdana" w:cs="CIDFont+F5"/>
        </w:rPr>
        <w:t>11,00% para os servidores inativos e pensionistas, incidentes sobre a parcela do</w:t>
      </w:r>
    </w:p>
    <w:p w:rsidR="009A2609" w:rsidRPr="003A0D34" w:rsidRDefault="009A2609" w:rsidP="009A2609">
      <w:pPr>
        <w:pStyle w:val="PargrafodaLista"/>
        <w:autoSpaceDE w:val="0"/>
        <w:autoSpaceDN w:val="0"/>
        <w:adjustRightInd w:val="0"/>
        <w:spacing w:after="0" w:line="240" w:lineRule="auto"/>
        <w:rPr>
          <w:rFonts w:ascii="Verdana" w:hAnsi="Verdana" w:cs="CIDFont+F5"/>
        </w:rPr>
      </w:pPr>
      <w:r w:rsidRPr="003A0D34">
        <w:rPr>
          <w:rFonts w:ascii="Verdana" w:hAnsi="Verdana" w:cs="CIDFont+F5"/>
        </w:rPr>
        <w:t>benefício que excede ao teto do RGPS;</w:t>
      </w:r>
    </w:p>
    <w:p w:rsidR="009A2609" w:rsidRPr="003A0D34" w:rsidRDefault="009A2609" w:rsidP="009A2609">
      <w:pPr>
        <w:pStyle w:val="PargrafodaLista"/>
        <w:numPr>
          <w:ilvl w:val="0"/>
          <w:numId w:val="11"/>
        </w:numPr>
        <w:autoSpaceDE w:val="0"/>
        <w:autoSpaceDN w:val="0"/>
        <w:adjustRightInd w:val="0"/>
        <w:spacing w:after="0" w:line="240" w:lineRule="auto"/>
        <w:rPr>
          <w:rFonts w:ascii="Verdana" w:hAnsi="Verdana" w:cs="CIDFont+F5"/>
        </w:rPr>
      </w:pPr>
      <w:r w:rsidRPr="003A0D34">
        <w:rPr>
          <w:rFonts w:ascii="Verdana" w:hAnsi="Verdana" w:cs="CIDFont+F5"/>
        </w:rPr>
        <w:t>22,00% para o município, incidentes sobre as remunerações dos servidores ativos, a título de contribuição normal.</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5475F707" wp14:editId="4C92B77C">
            <wp:extent cx="5400040" cy="3749450"/>
            <wp:effectExtent l="0" t="0" r="0" b="381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3749450"/>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 Valor Presente dos Benefícios Futuros representa o somatório dos benefícios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futuros prometidos aos servidores e seus dependentes, quer estejam adquiridos ou não,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fundados ou não. Refere-se, pois, ao montante de recursos que deve estar reunido numa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determinada data para assegurar o pagamento de todos os benefícios prometidos a esses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segurados no futuro sem que haja a necessidade de qualquer outra contribuição adicional</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ao plano.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 Valor Presente das Contribuições Futuras, por sua vez, representa o somatório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das contribuições futuras, a serem pagas pelos segurados e pelo ente municipal, devendo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ser suficiente para amortizar o correspondente ao Valor Presente dos Benefícios Futuros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desses indivíduos, considerando o período de atividade do servidor e o patrimônio líquido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existente na data da avaliação atuarial. Nos valores presentes das contribuições futuras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estão inseridas, ainda, as contribuições que serão arrecadadas dos aposentados 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pensionistas, pois segundo as novas determinações da Emenda Constitucional nº 41, esses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grupos deverão pagar contribuições sobre a parcela dos benefícios que exceder ao teto do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RGPS. Evidentemente, o impacto dessas contribuições para o município será mínimo,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dado que o valor médio dos proventos de aposentadorias e pensões não excede o limite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imposto constitucionalmente.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 reserva matemática ou passivo atuarial representa a obrigação do fundo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previdência para com os seus segurados e dependentes até a extinção da massa. Em outras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palavras, a reserva matemática é o montante que já deveria estar constituído no regime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previdência se todas as hipóteses e premissas da avaliação atuarial tivessem sido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confirmadas na prática e se as contribuições normais e suplementares tivessem sido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corretamente aportadas. O confronto entre a reserva matemática e o valor do ativo líquido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do plano resultará na situação atuarial do regime de previdência, que poderá ser</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superavitária, deficitária ou nula.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Os resultados foram agrupados em Benefícios a Conceder e Benefícios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Concedidos, sendo que o primeiro grupo representa os direitos e obrigações do regime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previdência para com os indivíduos que ainda não estão em gozo de benefícios,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compostos pelos atuais servidores ativos e seus dependentes, bem como pelos futuros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servidores ativos. O grupo dos benefícios concedidos se refere aos atuais aposentados 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pensionistas, que já estão em gozo de benefícios.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Conforme informação prestada pelo órgão gestor do RPPS, não existe patrimônio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no RPPS na data desta reavaliação atuarial.</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Observa-se, como resultado da reavaliação atuarial, que o Instituto apresenta um</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déficit atuarial, relativo à geração atual, de R$ 113.799.069.194,37, considerando-se as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premissas utilizadas, as regras das Emendas Constitucionais nºs 41/03, 47/05, 70/12 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88/1, e as alíquotas de contribuições mencionadas anteriormente.</w:t>
      </w:r>
    </w:p>
    <w:p w:rsidR="009A2609" w:rsidRPr="003A0D34" w:rsidRDefault="009A2609" w:rsidP="009A2609">
      <w:pPr>
        <w:autoSpaceDE w:val="0"/>
        <w:autoSpaceDN w:val="0"/>
        <w:adjustRightInd w:val="0"/>
        <w:spacing w:after="0" w:line="240" w:lineRule="auto"/>
        <w:rPr>
          <w:rFonts w:ascii="Verdana" w:hAnsi="Verdana" w:cs="CIDFont+F2"/>
        </w:rPr>
      </w:pPr>
    </w:p>
    <w:p w:rsidR="009A2609" w:rsidRPr="003A0D34" w:rsidRDefault="009A2609" w:rsidP="009A2609">
      <w:pPr>
        <w:autoSpaceDE w:val="0"/>
        <w:autoSpaceDN w:val="0"/>
        <w:adjustRightInd w:val="0"/>
        <w:spacing w:after="0" w:line="240" w:lineRule="auto"/>
        <w:rPr>
          <w:rFonts w:ascii="Verdana" w:hAnsi="Verdana" w:cs="CIDFont+F2"/>
          <w:b/>
        </w:rPr>
      </w:pPr>
      <w:r w:rsidRPr="003A0D34">
        <w:rPr>
          <w:rFonts w:ascii="Verdana" w:hAnsi="Verdana" w:cs="CIDFont+F2"/>
          <w:b/>
        </w:rPr>
        <w:t>12. RESULTADOS DA PROJEÇÃO ATUARIAL</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As projeções atuariais para o período de 75 anos, conforme determina a legislação,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encontram-se listadas no anexo II deste relatório, considerando as taxas de contribuição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atualmente em vigor no regime de previdência municipal. No quadro estão apresentados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os valores estimados dos pagamentos e recebimentos do RPPS ao longo do período de 75</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anos, considerando-se a população atual e futura de servidores ativos, inativos 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pensionistas. Também consta do referido quadro o valor esperado para o resultado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previdenciário em cada exercício futuro e para o saldo financeiro.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 análise dos quadros de projeções atuariais revela que a partir de 2016 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montante anual das despesas com benefícios e administrativa do RPPS ultrapassará o total</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de receitas de contribuições arrecadadas no exercício.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Anexo ao presente relatório encontra-se o demonstrativo das projeções atuariais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com as alíquotas atualmente praticadas pelo RPPS e com as alíquotas propostas para 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equacionamento do déficit atuarial.</w:t>
      </w:r>
    </w:p>
    <w:p w:rsidR="009A2609" w:rsidRPr="003A0D34" w:rsidRDefault="009A2609" w:rsidP="009A2609">
      <w:pPr>
        <w:autoSpaceDE w:val="0"/>
        <w:autoSpaceDN w:val="0"/>
        <w:adjustRightInd w:val="0"/>
        <w:spacing w:after="0" w:line="240" w:lineRule="auto"/>
        <w:rPr>
          <w:rFonts w:ascii="Verdana" w:hAnsi="Verdana" w:cs="CIDFont+F5"/>
        </w:rPr>
      </w:pPr>
    </w:p>
    <w:p w:rsidR="009A2609" w:rsidRPr="003A0D34" w:rsidRDefault="009A2609" w:rsidP="009A2609">
      <w:pPr>
        <w:autoSpaceDE w:val="0"/>
        <w:autoSpaceDN w:val="0"/>
        <w:adjustRightInd w:val="0"/>
        <w:spacing w:after="0" w:line="240" w:lineRule="auto"/>
        <w:rPr>
          <w:rFonts w:ascii="Verdana" w:hAnsi="Verdana" w:cs="CIDFont+F2"/>
          <w:b/>
        </w:rPr>
      </w:pPr>
      <w:r w:rsidRPr="003A0D34">
        <w:rPr>
          <w:rFonts w:ascii="Verdana" w:hAnsi="Verdana" w:cs="CIDFont+F2"/>
          <w:b/>
        </w:rPr>
        <w:t>13. COMPENSAÇÃO PREVIDENCIÁRIA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Conforme prevê a Lei nº 9.796, de 05 de maio de 1999, que dispõe sobre 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compensação financeira entre o Regime Geral de Previdência Social e os regimes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previdência estaduais e municipais, uma parcela do passivo atuarial é de responsabilidade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do RGPS.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Nesta reavaliação os valores de compensação foram calculados com base no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tempo de contribuição estimado para os servidores ativos e limitados a 10% do valor atual</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dos benefícios futuros.</w:t>
      </w:r>
    </w:p>
    <w:p w:rsidR="009A2609" w:rsidRPr="003A0D34" w:rsidRDefault="009A2609" w:rsidP="009A2609">
      <w:pPr>
        <w:autoSpaceDE w:val="0"/>
        <w:autoSpaceDN w:val="0"/>
        <w:adjustRightInd w:val="0"/>
        <w:spacing w:after="0" w:line="240" w:lineRule="auto"/>
        <w:rPr>
          <w:rFonts w:ascii="Verdana" w:hAnsi="Verdana" w:cs="CIDFont+F2"/>
        </w:rPr>
      </w:pPr>
    </w:p>
    <w:p w:rsidR="009A2609" w:rsidRPr="003A0D34" w:rsidRDefault="009A2609" w:rsidP="009A2609">
      <w:pPr>
        <w:autoSpaceDE w:val="0"/>
        <w:autoSpaceDN w:val="0"/>
        <w:adjustRightInd w:val="0"/>
        <w:spacing w:after="0" w:line="240" w:lineRule="auto"/>
        <w:rPr>
          <w:rFonts w:ascii="Verdana" w:hAnsi="Verdana" w:cs="CIDFont+F2"/>
          <w:b/>
        </w:rPr>
      </w:pPr>
      <w:r w:rsidRPr="003A0D34">
        <w:rPr>
          <w:rFonts w:ascii="Verdana" w:hAnsi="Verdana" w:cs="CIDFont+F2"/>
          <w:b/>
        </w:rPr>
        <w:t>14. PLANO DE CUSTEIO ANUAL</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Os quadros seguintes resumem as alíquotas de custos para o financiamento do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regime de previdência municipal.</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Os custos do primeiro quadro estão apresentados por tipo de benefício e são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aqueles que equilibram o regime de previdência face aos benefícios que o mesmo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necessita pagar aos seus segurados. Os valores representam os custos dos benefícios do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plano, expressos em percentagens incidentes sobre as remunerações de contribuição dos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servidores ativos. Para efeito de cálculo do custo, os benefícios dos aposentados 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pensionistas foram considerados pelos valores líquidos, ou seja, deduzidos das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contribuições que deverão aportar ao regime de previdência.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20711119" wp14:editId="2CA9A242">
            <wp:extent cx="5400040" cy="2883744"/>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2883744"/>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jc w:val="center"/>
        <w:rPr>
          <w:rFonts w:ascii="Verdana" w:hAnsi="Verdana" w:cs="CIDFont+F2"/>
          <w:b/>
        </w:rPr>
      </w:pPr>
    </w:p>
    <w:p w:rsidR="009A2609" w:rsidRPr="003A0D34" w:rsidRDefault="009A2609" w:rsidP="009A2609">
      <w:pPr>
        <w:autoSpaceDE w:val="0"/>
        <w:autoSpaceDN w:val="0"/>
        <w:adjustRightInd w:val="0"/>
        <w:spacing w:after="0" w:line="240" w:lineRule="auto"/>
        <w:jc w:val="center"/>
        <w:rPr>
          <w:rFonts w:ascii="Verdana" w:hAnsi="Verdana" w:cs="CIDFont+F2"/>
          <w:b/>
        </w:rPr>
      </w:pPr>
      <w:r w:rsidRPr="003A0D34">
        <w:rPr>
          <w:rFonts w:ascii="Verdana" w:hAnsi="Verdana" w:cs="CIDFont+F2"/>
          <w:b/>
        </w:rPr>
        <w:t>PARECER ATUARIAL</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 reavaliação atuarial do Instituto de Previdência Municipal de São Paulo-SP</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revelou a existência de um déficit atuarial, em relação à geração atual de segurados,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evidenciando a insuficiência do custeio atual frente às obrigações previdenciárias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assumidas pelo referido regime.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Conforme demonstrado no quadro do balanço atuarial, o regime de previdência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do município apresenta uma insuficiência atuarial, em relação à geração atual, de R$</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113.799.069.194,37, conforme demonstrado no quadro seguinte.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7B4B1C86" wp14:editId="0B922F94">
            <wp:extent cx="5400040" cy="2990996"/>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2990996"/>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No desenvolvimento da presente reavaliação foram utilizadas as premissas 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hipóteses atuariais relacionadas no relatório de avaliação atuarial, bem como a legislação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constitucional, federal e municipal que regulam o funcionamento dos regimes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previdência dos servidores públicos e, em especial, do RPPS do município de São Paulo.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 cadastro utilizado na reavaliação atuarial contém as informações do grupo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segurados vinculado ao plano de benefícios, sendo todas as informações referentes 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dezembro de 2015.</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 montante da folha salarial utilizado nas projeções foi de R$ 642.289.198,95.</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As hipóteses atuariais estão descritas no Demonstrativo dos Resultados da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Avaliação Atuarial DRAA, do qual este parecer é integrante, bem como no relatório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avaliação atuarial em poder do órgão gestor do RPPS.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As justificativas técnicas para a utilização das hipóteses atuariais requeridas nas</w:t>
      </w:r>
    </w:p>
    <w:p w:rsidR="009A2609"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normas de preenchimento do DRAA 2016 estão abaixo apresentadas.</w:t>
      </w:r>
    </w:p>
    <w:p w:rsidR="0062437C" w:rsidRPr="003A0D34" w:rsidRDefault="0062437C" w:rsidP="009A2609">
      <w:pPr>
        <w:autoSpaceDE w:val="0"/>
        <w:autoSpaceDN w:val="0"/>
        <w:adjustRightInd w:val="0"/>
        <w:spacing w:after="0" w:line="240" w:lineRule="auto"/>
        <w:rPr>
          <w:rFonts w:ascii="Verdana" w:hAnsi="Verdana" w:cs="CIDFont+F5"/>
        </w:rPr>
      </w:pP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5BD6B1CA" wp14:editId="566F7C68">
            <wp:extent cx="5400040" cy="1721204"/>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1721204"/>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3A458C83" wp14:editId="192C4FF0">
            <wp:extent cx="5400040" cy="699993"/>
            <wp:effectExtent l="0" t="0" r="0" b="508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699993"/>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66338C78" wp14:editId="62A0D09A">
            <wp:extent cx="5400040" cy="1190972"/>
            <wp:effectExtent l="0" t="0" r="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1190972"/>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1C6EBF1F" wp14:editId="5FA6CCD2">
            <wp:extent cx="5400040" cy="735533"/>
            <wp:effectExtent l="0" t="0" r="0" b="762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735533"/>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7FD8FC85" wp14:editId="425C6F22">
            <wp:extent cx="5400040" cy="771706"/>
            <wp:effectExtent l="0" t="0" r="0" b="952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771706"/>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 projeção das provisões matemáticas para os próximos doze meses foi elaborada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de forma linear, considerando-se a fórmula que está apresentada nas orientações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preenchimento do DRAA 2016, a qual está transcrita a seguir.</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6D69086C" wp14:editId="7174F830">
            <wp:extent cx="1282700" cy="4984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2700" cy="498475"/>
                    </a:xfrm>
                    <a:prstGeom prst="rect">
                      <a:avLst/>
                    </a:prstGeom>
                    <a:noFill/>
                    <a:ln>
                      <a:noFill/>
                    </a:ln>
                  </pic:spPr>
                </pic:pic>
              </a:graphicData>
            </a:graphic>
          </wp:inline>
        </w:drawing>
      </w:r>
      <w:r w:rsidRPr="003A0D34">
        <w:rPr>
          <w:rFonts w:ascii="Verdana" w:hAnsi="Verdana" w:cs="CIDFont+F5"/>
        </w:rPr>
        <w:t xml:space="preserve">, onde </w:t>
      </w:r>
      <w:r w:rsidRPr="003A0D34">
        <w:rPr>
          <w:rFonts w:ascii="Verdana" w:hAnsi="Verdana" w:cs="CIDFont+F10"/>
          <w:i/>
          <w:iCs/>
        </w:rPr>
        <w:t xml:space="preserve">k </w:t>
      </w:r>
      <w:r w:rsidRPr="003A0D34">
        <w:rPr>
          <w:rFonts w:ascii="Verdana" w:hAnsi="Verdana" w:cs="CIDFont+F5"/>
        </w:rPr>
        <w:t>número de meses contados a partir da avaliação;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10"/>
          <w:i/>
          <w:iCs/>
        </w:rPr>
        <w:t xml:space="preserve">V </w:t>
      </w:r>
      <w:r w:rsidRPr="003A0D34">
        <w:rPr>
          <w:rFonts w:ascii="Verdana" w:hAnsi="Verdana" w:cs="CIDFont+F5"/>
        </w:rPr>
        <w:t xml:space="preserve">0 valor atual na data da avaliação e </w:t>
      </w:r>
      <w:r w:rsidRPr="003A0D34">
        <w:rPr>
          <w:rFonts w:ascii="Verdana" w:hAnsi="Verdana" w:cs="CIDFont+F10"/>
          <w:i/>
          <w:iCs/>
        </w:rPr>
        <w:t>V</w:t>
      </w:r>
      <w:r w:rsidRPr="003A0D34">
        <w:rPr>
          <w:rFonts w:ascii="Verdana" w:hAnsi="Verdana" w:cs="CIDFont+F5"/>
        </w:rPr>
        <w:t>1 valor atual posicionado doze meses após 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data da avaliação.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 xml:space="preserve">O cálculo de </w:t>
      </w:r>
      <w:r w:rsidRPr="003A0D34">
        <w:rPr>
          <w:rFonts w:ascii="Verdana" w:hAnsi="Verdana" w:cs="CIDFont+F10"/>
          <w:i/>
          <w:iCs/>
        </w:rPr>
        <w:t>V</w:t>
      </w:r>
      <w:r w:rsidRPr="003A0D34">
        <w:rPr>
          <w:rFonts w:ascii="Verdana" w:hAnsi="Verdana" w:cs="CIDFont+F5"/>
        </w:rPr>
        <w:t>1 foi efetuado com base na projeção da reserva matemática para 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final de 2016, considerando-se um ambiente inflacionário de 6% a.a., a taxa de juros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adotada na avaliação atuarial e os fluxos de contribuições, benefícios e despesas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administrativas estimadas para o período.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Os resultados da projeção das provisões matemáticas estão apresentados no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quadro seguinte.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1B6A2FD8" wp14:editId="53BA2611">
            <wp:extent cx="5400040" cy="1919469"/>
            <wp:effectExtent l="0" t="0" r="0" b="508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1919469"/>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629BB75E" wp14:editId="0AD674CE">
            <wp:extent cx="5400040" cy="1372983"/>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1372983"/>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4A87051B" wp14:editId="38DBA796">
            <wp:extent cx="5400040" cy="1140178"/>
            <wp:effectExtent l="0" t="0" r="0" b="317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1140178"/>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55108416" wp14:editId="75A81D0D">
            <wp:extent cx="5400040" cy="846373"/>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846373"/>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4B077D59" wp14:editId="7960AF59">
            <wp:extent cx="5400040" cy="833790"/>
            <wp:effectExtent l="0" t="0" r="0" b="444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40" cy="833790"/>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4C411538" wp14:editId="77D7E89F">
            <wp:extent cx="5400040" cy="846951"/>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846951"/>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1B0DC912" wp14:editId="7AE76D8F">
            <wp:extent cx="2434590" cy="3028315"/>
            <wp:effectExtent l="0" t="0" r="3810" b="63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34590" cy="3028315"/>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As alíquotas praticadas pelo município na data desta reavaliação são: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 22,00% do município, incidente sobre a remuneração dos servidores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ativos, a título de contribuição normal;</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b) 11,00% dos servidores ativos; 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 11,00% dos servidores inativos e pensionistas, incidentes sobre a parcela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do benefício que excede ao teto do RGPS.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 custo dos benefícios assegurados pelo RPPS é de 33,00%, para o custo normal</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e de 15,10% para o custo suplementar de amortização do déficit atuarial ao longo dos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próximos 35 anos, originando um custo total de 82,72%.</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 déficit atuarial registrado nesta avaliação poderá ser equacionado através da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implantação da alíquota de 87,79% a partir de 2017, incidente sobre a folha salarial dos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servidores ativos com vínculo efetivo, a qual permanecerá vigente até 2050.</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Observa-se que existe um custo de transição vinculado ao RPPS, fruto da não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constituição, na devida época, das reservas necessárias para o custeio do tempo de serviço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anterior à instituição do regime previdenciária. Essa transição se dará ao longo de 35 anos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e, findo esse período, o custo previdenciário do município retornará para o patamar atual.</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Abaixo se encontram os parâmetros e a demonstração da suficiência do plano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amortização para o equacionamento do déficit atuarial, considerando-se a alternativa B.</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 amortização será feita por aportes, sendo os pagamentos efetuados de forma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postecipada.</w:t>
      </w:r>
    </w:p>
    <w:p w:rsidR="009A2609" w:rsidRPr="003A0D34" w:rsidRDefault="009A2609" w:rsidP="009A2609">
      <w:pPr>
        <w:autoSpaceDE w:val="0"/>
        <w:autoSpaceDN w:val="0"/>
        <w:adjustRightInd w:val="0"/>
        <w:spacing w:after="0" w:line="240" w:lineRule="auto"/>
        <w:rPr>
          <w:rFonts w:ascii="Verdana" w:hAnsi="Verdana" w:cs="CIDFont+F5"/>
        </w:rPr>
      </w:pP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6893239A" wp14:editId="6FC9C60D">
            <wp:extent cx="3645535" cy="216154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45535" cy="2161540"/>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03E6554D" wp14:editId="36631169">
            <wp:extent cx="5400040" cy="3265874"/>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3265874"/>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14D12891" wp14:editId="370E0D61">
            <wp:extent cx="5400040" cy="1863061"/>
            <wp:effectExtent l="0" t="0" r="0" b="444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1863061"/>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 plano de custeio proposto para 2016 prevê contribuições do município (22%),</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do servidor ativo (11%), inativos e pensionistas (11%), sendo estas últimas incidentes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sobre a parcela dos benefícios que exceder ao teto do RGPS, conforme previsto na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legislação federal aplicável aos RPPS. O município aportará, ainda, recursos financeiros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para financiar a insuficiência com o pagamento dos benefícios em 2016, estimada em R$ 5.797.607.042,57.</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 demonstrativo dos fluxos financeiros com a alternativa proposta está anexo ao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relatório de avaliação atuarial, onde pode ser constatado que o saldo previdenciário será suficiente para adimplir todos os benefícios com a geração atual de servidores, pensionistas e dependentes.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Ressaltamos que as alíquotas aqui sugeridas poderão sofrer modificações ao longo do tempo, tendo em vistas mudanças no perfil etário, previdenciário, salarial ou familiar dos segurados do regime previdenciário.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 Demonstrativo dos Resultados da Avaliação Atuarial DRAA foi preenchido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levando-se em consideração as alíquotas vigentes na data desta reavaliação atuarial.</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Os modelos previdenciários são arranjos concebidos para longo período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maturação e, portanto, requerem planejamento de igual dimensão e ajustes imediatos, tão logo sejam identificados problemas estruturais ou conjunturais que venham a desequilibrar financeira, econômica e atuarialmente o regime. Assim, a manutenção do equilíbrio de um fundo previdenciário requer constante e contínuo monitoramento das obrigações do ente federativo e sua justa fundação.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Neste ponto a Constituição Federal determinou, com a modificação introduzida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pela Emenda Constitucional nº 20/98, o alcance e a manutenção do equilíbrio atuarial de todos os regimes previdenciários de entes públicos, sendo ratificada pela regulamentação dos regimes de previdência dos servidores públicos, consoante a Lei n.º 9.717/98.</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147AEB40" wp14:editId="4A9FBE1B">
            <wp:extent cx="5400040" cy="3421623"/>
            <wp:effectExtent l="0" t="0" r="0" b="762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3421623"/>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25481376" wp14:editId="591F69C9">
            <wp:extent cx="5400040" cy="3619571"/>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3619571"/>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2CB2121E" wp14:editId="466DDE51">
            <wp:extent cx="5400040" cy="2858181"/>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040" cy="2858181"/>
                    </a:xfrm>
                    <a:prstGeom prst="rect">
                      <a:avLst/>
                    </a:prstGeom>
                    <a:noFill/>
                    <a:ln>
                      <a:noFill/>
                    </a:ln>
                  </pic:spPr>
                </pic:pic>
              </a:graphicData>
            </a:graphic>
          </wp:inline>
        </w:drawing>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noProof/>
          <w:lang w:eastAsia="pt-BR"/>
        </w:rPr>
        <w:drawing>
          <wp:inline distT="0" distB="0" distL="0" distR="0" wp14:anchorId="0AA6D57B" wp14:editId="3D5892F8">
            <wp:extent cx="5400040" cy="5517939"/>
            <wp:effectExtent l="0" t="0" r="0" b="698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5517939"/>
                    </a:xfrm>
                    <a:prstGeom prst="rect">
                      <a:avLst/>
                    </a:prstGeom>
                    <a:noFill/>
                    <a:ln>
                      <a:noFill/>
                    </a:ln>
                  </pic:spPr>
                </pic:pic>
              </a:graphicData>
            </a:graphic>
          </wp:inline>
        </w:drawing>
      </w:r>
    </w:p>
    <w:p w:rsidR="0062437C" w:rsidRDefault="0062437C" w:rsidP="009A2609">
      <w:pPr>
        <w:autoSpaceDE w:val="0"/>
        <w:autoSpaceDN w:val="0"/>
        <w:adjustRightInd w:val="0"/>
        <w:spacing w:after="0" w:line="240" w:lineRule="auto"/>
        <w:rPr>
          <w:rFonts w:ascii="Verdana" w:hAnsi="Verdana" w:cs="CIDFont+F2"/>
          <w:b/>
        </w:rPr>
      </w:pPr>
    </w:p>
    <w:p w:rsidR="009A2609" w:rsidRPr="003A0D34" w:rsidRDefault="009A2609" w:rsidP="009A2609">
      <w:pPr>
        <w:autoSpaceDE w:val="0"/>
        <w:autoSpaceDN w:val="0"/>
        <w:adjustRightInd w:val="0"/>
        <w:spacing w:after="0" w:line="240" w:lineRule="auto"/>
        <w:rPr>
          <w:rFonts w:ascii="Verdana" w:hAnsi="Verdana" w:cs="CIDFont+F2"/>
          <w:b/>
        </w:rPr>
      </w:pPr>
      <w:r w:rsidRPr="003A0D34">
        <w:rPr>
          <w:rFonts w:ascii="Verdana" w:hAnsi="Verdana" w:cs="CIDFont+F2"/>
          <w:b/>
        </w:rPr>
        <w:t>Análise da entidade Gestora do RPPS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No ano de 2016, o Iprem intensificou suas ações relativas ao projeto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Sustentabilidade Previdenciária do Município de São Paulo, que consiste em estudos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voltados à elaboração de diagnósticos de natureza econômica, financeira e atuarial, para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proposição de medidas viáveis à garantia do equilíbrio financeiro e atuarial do Regime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Próprio de Previdência Social (RPPS).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Neste contexto, os estudos e o desenvolvimento de indicadores propiciam 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transparência e contribuem para viabilizar o aprimoramento das decisões estratégicas e 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desenvolvimento de políticas públicas, primando pela modernização da gestão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previdenciária, controle social e a melhoria da qualidade do gasto público, os quais, por</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via de consequência, possibilitarão condições para o Equilíbrio Financeiro e Atuarial do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Regime alinhado à finalidade e objetivo institucionais.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Foi possível o aperfeiçoamento da proposta de reestruturação da Entidade Gestora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da Previdência e reorganização do RPPS, a partir de resultados do mapeamento 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melhoria dos processos de trabalho desenvolvidos nas diversas áreas do Iprem. Tais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projetos têm por objetivo consolidar a Entidade Gestora Única de previdência dos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servidores ativos, inativos e seus pensionistas, garantindo as condições legais e 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infraestrutura necessária para sua efetivação e operacionalização, em atendimento ao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disposto do § 20 do artigo 40 da Constituição Federal, em redação introduzida pela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Emenda Constitucional nº 41 de 2001.</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As ações acima, dentre outros balizadores, consideraram os requisitos (controle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interno, governança corporativa e educação previdenciária) estabelecidos pelo Sistema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de Certificação Pró-Gestão, instituído pelo Governo Federal, na busca de maior</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qualificação e conformidade de suas práticas de gestão.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Importante ressaltar que os resultados financeiros do RPPS são sensíveis ao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movimento da massa de segurados, em especial aquela em iminência de aposentadoria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por já ter completado os requisitos necessários, que poderá implicar no incremento da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despesa com benefícios previdenciários.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 Portaria n.º 403/2008 no seu art. 18 prevê que se a avaliação indicar déficit</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atuarial deverá ser apresentado no parecer atuarial plano de equacionamento. O IPREM</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contratou em meados de 2015, consultoria atuarial para realização de estudo atuarial</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complexo para embasamento teórico e tecnicamente os impactos e custos de transição das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alternativas possíveis para equacionamento financeiro e atuarial. Tal estudo atualmente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está em fase de finalização. Um importante aspecto a ser considerado nos estudos é 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manutenção da atual capacidade de solvência do Município para suportar a despesa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previdenciária em longo prazo.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Por exigência do então Ministério da Previdência Social, o Município de São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Paulo explicitou e contabilizou o déficit atuarial no Balanço de 2015. Diante disso, uma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das ações necessárias foi a elaboração de projeto de lei instituindo o Regime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Previdência Complementar destinado à geração futura de servidores. Tal projeto implica,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paralelamente, a instituição do limite do valor dos benefícios ao teto do INSS e cria um</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fundo capitalizado para garantir o nível de renda do servidor acima desse teto,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diminuindo, portanto, o custo previdenciário para o Ente e a diminuição da contribuição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do servidor sobre a parcela acima do teto. Este Projeto de Lei se encontra na Câmara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Municipal (PL n° 621/2016).</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Outra frente de atuação do Iprem, visando à minoração do déficit financeiro do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RPPS, custeado pelo Tesouro Municipal, diz respeito aos esforços para aumentar 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ingresso de recursos relativos à compensação financeira entre o RPPS e o RGPS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(Comprev), seja por meio dos estudos realizados para identificar o potencial máximo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compensação previdenciária ou da ação conjunta com as Unidades de RH e o TCMSP.</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Cabe destacar dentre as ações voltadas à análise da Gestão das Despesas do RPPS,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 intervenção e melhoria do controle interno por meio da revisão de procedimentos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relacionados à gestão do risco operacional, especialmente na realização do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recadastramento anual e no cruzamento de bases de dados para identificação mais ágil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óbitos de beneficiários.</w:t>
      </w:r>
    </w:p>
    <w:p w:rsidR="009A2609" w:rsidRPr="003A0D34" w:rsidRDefault="009A2609" w:rsidP="009A2609">
      <w:pPr>
        <w:autoSpaceDE w:val="0"/>
        <w:autoSpaceDN w:val="0"/>
        <w:adjustRightInd w:val="0"/>
        <w:spacing w:after="0" w:line="240" w:lineRule="auto"/>
        <w:rPr>
          <w:rFonts w:ascii="Verdana" w:hAnsi="Verdana" w:cs="CIDFont+F5"/>
        </w:rPr>
      </w:pPr>
    </w:p>
    <w:p w:rsidR="009A2609" w:rsidRPr="003A0D34" w:rsidRDefault="009A2609" w:rsidP="009A2609">
      <w:pPr>
        <w:autoSpaceDE w:val="0"/>
        <w:autoSpaceDN w:val="0"/>
        <w:adjustRightInd w:val="0"/>
        <w:spacing w:after="0" w:line="240" w:lineRule="auto"/>
        <w:rPr>
          <w:rFonts w:ascii="Verdana" w:hAnsi="Verdana" w:cs="CIDFont+F2"/>
          <w:b/>
        </w:rPr>
      </w:pPr>
      <w:r w:rsidRPr="003A0D34">
        <w:rPr>
          <w:rFonts w:ascii="Verdana" w:hAnsi="Verdana" w:cs="CIDFont+F2"/>
          <w:b/>
        </w:rPr>
        <w:t>ANEXO III RISCOS FISCAIS</w:t>
      </w:r>
    </w:p>
    <w:p w:rsidR="009A2609" w:rsidRPr="003A0D34" w:rsidRDefault="009A2609" w:rsidP="009A2609">
      <w:pPr>
        <w:autoSpaceDE w:val="0"/>
        <w:autoSpaceDN w:val="0"/>
        <w:adjustRightInd w:val="0"/>
        <w:spacing w:after="0" w:line="240" w:lineRule="auto"/>
        <w:rPr>
          <w:rFonts w:ascii="Verdana" w:hAnsi="Verdana" w:cs="CIDFont+F5"/>
          <w:b/>
        </w:rPr>
      </w:pPr>
      <w:r w:rsidRPr="003A0D34">
        <w:rPr>
          <w:rFonts w:ascii="Verdana" w:hAnsi="Verdana" w:cs="CIDFont+F5"/>
          <w:b/>
        </w:rPr>
        <w:t>Art. 4º, parágrafo 3º da Lei Complementar nº 101, de 04/05/2000</w:t>
      </w:r>
    </w:p>
    <w:p w:rsidR="009A2609" w:rsidRPr="003A0D34" w:rsidRDefault="009A2609" w:rsidP="009A2609">
      <w:pPr>
        <w:autoSpaceDE w:val="0"/>
        <w:autoSpaceDN w:val="0"/>
        <w:adjustRightInd w:val="0"/>
        <w:spacing w:after="0" w:line="240" w:lineRule="auto"/>
        <w:rPr>
          <w:rFonts w:ascii="Verdana" w:hAnsi="Verdana" w:cs="CIDFont+F2"/>
          <w:b/>
        </w:rPr>
      </w:pPr>
      <w:r w:rsidRPr="003A0D34">
        <w:rPr>
          <w:rFonts w:ascii="Verdana" w:hAnsi="Verdana" w:cs="CIDFont+F2"/>
          <w:b/>
        </w:rPr>
        <w:t>INTRODUÇÃO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 fim de prover transparência na apuração dos resultados fiscais dos governos a</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Lei Complementar nº101, de 4 de Maio de 2000, denominada Lei de Responsabilidade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Fiscal - LRF, estabelece que a Lei de Diretrizes Orçamentárias - LDO deve conter Anexo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de Riscos Fiscais, com a avaliação dos passivos contingentes e de outros riscos capazes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de afetar negativamente as contas públicas e, consequentemente, as metas fiscais</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estabelecidas em lei.</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Os passivos contingentes são obrigações que surgem em função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acontecimentos futuros e incertos e não totalmente sob controle da municipalidade, ou de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fatos passados ainda não reconhecidos. Já os outros riscos envolvem, principalmente,</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alterações do cenário macroeconômico.</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De forma a estruturar a análise, serão utilizadas duas categorias: riscos de caráter</w:t>
      </w:r>
    </w:p>
    <w:p w:rsidR="009A2609" w:rsidRPr="003A0D34" w:rsidRDefault="009A2609" w:rsidP="009A2609">
      <w:pPr>
        <w:autoSpaceDE w:val="0"/>
        <w:autoSpaceDN w:val="0"/>
        <w:adjustRightInd w:val="0"/>
        <w:spacing w:after="0" w:line="240" w:lineRule="auto"/>
        <w:rPr>
          <w:rFonts w:ascii="Verdana" w:hAnsi="Verdana" w:cs="CIDFont+F5"/>
        </w:rPr>
      </w:pPr>
      <w:r w:rsidRPr="003A0D34">
        <w:rPr>
          <w:rFonts w:ascii="Verdana" w:hAnsi="Verdana" w:cs="CIDFont+F5"/>
        </w:rPr>
        <w:t>orçamentário e riscos vinculados a dívidas, que incluem os precatórios.</w:t>
      </w:r>
    </w:p>
    <w:p w:rsidR="00A724BF" w:rsidRPr="003A0D34" w:rsidRDefault="00A724BF" w:rsidP="00A724BF">
      <w:pPr>
        <w:autoSpaceDE w:val="0"/>
        <w:autoSpaceDN w:val="0"/>
        <w:adjustRightInd w:val="0"/>
        <w:spacing w:after="0" w:line="240" w:lineRule="auto"/>
        <w:rPr>
          <w:rFonts w:ascii="Verdana" w:hAnsi="Verdana" w:cs="CIDFont+F2"/>
        </w:rPr>
      </w:pPr>
    </w:p>
    <w:p w:rsidR="00A724BF" w:rsidRPr="003A0D34" w:rsidRDefault="00A724BF" w:rsidP="00A724BF">
      <w:pPr>
        <w:autoSpaceDE w:val="0"/>
        <w:autoSpaceDN w:val="0"/>
        <w:adjustRightInd w:val="0"/>
        <w:spacing w:after="0" w:line="240" w:lineRule="auto"/>
        <w:rPr>
          <w:rFonts w:ascii="Verdana" w:hAnsi="Verdana" w:cs="CIDFont+F2"/>
          <w:b/>
        </w:rPr>
      </w:pPr>
      <w:r w:rsidRPr="003A0D34">
        <w:rPr>
          <w:rFonts w:ascii="Verdana" w:hAnsi="Verdana" w:cs="CIDFont+F2"/>
          <w:b/>
        </w:rPr>
        <w:t>RISCOS ORÇAMENTÁRIOS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Os Riscos Orçamentários representam a possibilidade de as receitas estimadas 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as despesas fixadas na Lei Orçamentária não se confirmarem no exercício financeiro, por</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conta de fatos conjunturais divergentes daqueles previstos no momento da elaboração da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peça orçamentária.</w:t>
      </w:r>
    </w:p>
    <w:p w:rsidR="0062437C" w:rsidRDefault="0062437C" w:rsidP="00A724BF">
      <w:pPr>
        <w:autoSpaceDE w:val="0"/>
        <w:autoSpaceDN w:val="0"/>
        <w:adjustRightInd w:val="0"/>
        <w:spacing w:after="0" w:line="240" w:lineRule="auto"/>
        <w:rPr>
          <w:rFonts w:ascii="Verdana" w:hAnsi="Verdana" w:cs="CIDFont+F2"/>
          <w:b/>
        </w:rPr>
      </w:pPr>
    </w:p>
    <w:p w:rsidR="00A724BF" w:rsidRPr="003A0D34" w:rsidRDefault="00A724BF" w:rsidP="00A724BF">
      <w:pPr>
        <w:autoSpaceDE w:val="0"/>
        <w:autoSpaceDN w:val="0"/>
        <w:adjustRightInd w:val="0"/>
        <w:spacing w:after="0" w:line="240" w:lineRule="auto"/>
        <w:rPr>
          <w:rFonts w:ascii="Verdana" w:hAnsi="Verdana" w:cs="CIDFont+F2"/>
          <w:b/>
        </w:rPr>
      </w:pPr>
      <w:r w:rsidRPr="003A0D34">
        <w:rPr>
          <w:rFonts w:ascii="Verdana" w:hAnsi="Verdana" w:cs="CIDFont+F2"/>
          <w:b/>
        </w:rPr>
        <w:t>Riscos relacionados às variações na receita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Circunstâncias futuras diferentes do contexto econômico podem afetar 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arrecadação, com consequências nas metas de resultados primário e nominal, visto que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os índices utilizados para a previsão das receitas podem sofrer alterações ao longo dos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exercícios.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Um dos principais impactos se dá no comportamento do nível de atividade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econômica, medido pela taxa de crescimento real do Produto Interno Bruto PIB. O PIB</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serve como parâmetro de evolução da maioria das receitas, destacando-se,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prioritariamente, as receitas tributárias, que representam a maior parcela do ingresso de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recursos. Uma variação de 1% no PIB acarreta uma variação aproximada de 0,32% na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estimativa de receita da peça orçamentária.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Ainda a respeito do nível de atividade econômica, destaca-se o PIB Serviços, que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tem forte influência nas receitas municipais, visto que a arrecadação do Imposto Sobre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Serviços de Qualquer Natureza ISS mantém forte ligação com o indicador. Uma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variação de 1% no PIB Serviços reflete em 0,25% na receita total do município.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Os índices de desemprego e renda também influenciam diretamente os tributos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relacionados ao consumo e indiretamente, como por exemplo, na variação da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inadimplência percebida em determinados tributos. Neste caso, o Imposto Sobre 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Propriedade Predial e Territorial Urbana é o mais sensível; a cada 1% de variação na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inadimplência, a arrecadação total varia negativamente em 0,18%</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Outra variável importante que afeta a arrecadação é condição/situação do mercado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imobiliário, que impacta na arrecadação do Imposto sobre Transmissão INTER-VIVOS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de Bens Imóveis e de Direitos Reais sobre Imóveis ITBI - uma vez que a arrecadação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depende do número de transações e dos valores transacionados. Adicionalmente, os níveis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de investimento no município também apresentam relação estreita com este imposto, pois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grandes negócios são acompanhados, na maioria dos casos, de movimentações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imobiliárias.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Choques inflacionários ou cambiais têm reflexo nas dívidas existentes junto 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credores internos e externos, e podem influenciar tanto o fluxo de desembolsos para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cobertura do serviço da dívida como o saldo devedor dessas obrigações. Embora com um</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efeito menor, a variação cambial também impacta a realização de receitas, principalmente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a arrecadação com o Imposto Sobre Serviços ISS e com a cota-parte do Imposto sobre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a Circulação de Mercadorias e Serviços ICMS.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Haja vista que outro fator relevante a considerar na receita do município é 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variação das taxas de juros, diversos fundos e aplicações financeiras são remunerados de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acordo com as taxas praticadas no mercado.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A saúde financeira de outros muitos entes da federação também influencia nas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receitas municipais. Transferências pactuadas via convênios podem não se realizar</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segundo as previsões acordadas. O surgimento de novas políticas de fomento ou</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mudanças nas políticas existentes no momento da elaboração da peça orçamentária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também podem surpreender as receitas de forma positiva ou negativa.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O cenário econômico também pode influenciar a captação de recursos via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operação de crédito. Existe o risco de que o mercado não viabilize tais operações em</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condições ou montantes vantajosos ao município o que geraria entraves ou frustrações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na obtenção dessas receitas.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As receitas com privatizações, securitizações e comercialização de Certificados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de Potencial Adicional de Construção (CEPAC), ligados a Operações Urbanas, também</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dependem do mercado para sua realização, uma vez que variáveis macroeconômicas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favoráveis são essenciais para atrair potenciais investidores.</w:t>
      </w:r>
    </w:p>
    <w:p w:rsidR="00A724BF" w:rsidRPr="003A0D34" w:rsidRDefault="00A724BF" w:rsidP="00A724BF">
      <w:pPr>
        <w:autoSpaceDE w:val="0"/>
        <w:autoSpaceDN w:val="0"/>
        <w:adjustRightInd w:val="0"/>
        <w:spacing w:after="0" w:line="240" w:lineRule="auto"/>
        <w:rPr>
          <w:rFonts w:ascii="Verdana" w:hAnsi="Verdana" w:cs="CIDFont+F5"/>
        </w:rPr>
      </w:pPr>
    </w:p>
    <w:p w:rsidR="00A724BF" w:rsidRPr="003A0D34" w:rsidRDefault="00A724BF" w:rsidP="00A724BF">
      <w:pPr>
        <w:autoSpaceDE w:val="0"/>
        <w:autoSpaceDN w:val="0"/>
        <w:adjustRightInd w:val="0"/>
        <w:spacing w:after="0" w:line="240" w:lineRule="auto"/>
        <w:rPr>
          <w:rFonts w:ascii="Verdana" w:hAnsi="Verdana" w:cs="CIDFont+F2"/>
          <w:b/>
        </w:rPr>
      </w:pPr>
      <w:r w:rsidRPr="003A0D34">
        <w:rPr>
          <w:rFonts w:ascii="Verdana" w:hAnsi="Verdana" w:cs="CIDFont+F2"/>
          <w:b/>
        </w:rPr>
        <w:t>RISCOS DE DÍVIDA</w:t>
      </w:r>
    </w:p>
    <w:p w:rsidR="00A724BF" w:rsidRPr="003A0D34" w:rsidRDefault="00A724BF" w:rsidP="00A724BF">
      <w:pPr>
        <w:autoSpaceDE w:val="0"/>
        <w:autoSpaceDN w:val="0"/>
        <w:adjustRightInd w:val="0"/>
        <w:spacing w:after="0" w:line="240" w:lineRule="auto"/>
        <w:rPr>
          <w:rFonts w:ascii="Verdana" w:hAnsi="Verdana" w:cs="CIDFont+F2"/>
          <w:b/>
        </w:rPr>
      </w:pPr>
      <w:r w:rsidRPr="003A0D34">
        <w:rPr>
          <w:rFonts w:ascii="Verdana" w:hAnsi="Verdana" w:cs="CIDFont+F2"/>
          <w:b/>
        </w:rPr>
        <w:t>Riscos decorrentes da Dívida Fundada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A dívida do Município com a União Federal, consubstanciada no contrato firmado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em 03 de maio de 2000, no âmbito dos programas de assunção e refinanciamento das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dívidas dos entes subnacionais pela União, cujo objetivo era permitir que os Estados 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Municípios pudessem reorganizar suas finanças e atingir os objetivos e metas explicitados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posteriormente na Lei de Responsabilidade Fiscal (Lei Complementar nº 101, de 2000),</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deixou, a partir de fevereiro de 2016, de ser objeto de preocupação da sociedade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paulistana.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Com o advento da Lei Complementar nº 148, de 25 de novembro de 2014, alterada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pela Lei complementar nº 151, de 05 de agosto de 2015, regulamentada pelo Decreto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Federal nº 8.616, de 29 de dezembro de 2015, com alterações posteriores, o Município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firmou, em 26 de fevereiro de 2016, o Terceiro Termo Aditivo ao contrato de 03 de maio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de 2000, o que possibilitou redução de R$ 46,45 bilhões do saldo devedor, posicionado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em 01/01/2016, alteração da taxa de juros de 9% ao ano para 4% ao ano e atualização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monetária calculada mensalmente com base na variação do Índice Nacional de Preços ao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Consumidor Amplo (IPCA), apurado pela Fundação Instituto Brasileiro de Geografia 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Estatística (IBGE), sendo que a aplicação dos juros e da correção monetária ficam</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limitados à taxa referencial do Sistema Especial de Liquidação e de Custódia (Selic) para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os títulos federais.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A efetivação da renegociação prevista na LC 148/14 possibilitou ao Município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cumprir com o limite de endividamento previsto na Resolução do Senado Federal nº</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40/2001, passando a merecer destaque apenas os riscos associados à elevação acima do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previsto dos índices que atualizam as Dívidas Contratuais (IGPM, IPCA, TR, TJLP 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SELIC) e da variação cambial, eventos que poderão influenciar negativamente o saldo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devedor e, consequentemente, o resultado nominal.</w:t>
      </w:r>
    </w:p>
    <w:p w:rsidR="00A724BF" w:rsidRPr="003A0D34" w:rsidRDefault="00A724BF" w:rsidP="00A724BF">
      <w:pPr>
        <w:autoSpaceDE w:val="0"/>
        <w:autoSpaceDN w:val="0"/>
        <w:adjustRightInd w:val="0"/>
        <w:spacing w:after="0" w:line="240" w:lineRule="auto"/>
        <w:rPr>
          <w:rFonts w:ascii="Verdana" w:hAnsi="Verdana" w:cs="CIDFont+F2"/>
          <w:b/>
        </w:rPr>
      </w:pPr>
    </w:p>
    <w:p w:rsidR="00A724BF" w:rsidRPr="003A0D34" w:rsidRDefault="00A724BF" w:rsidP="00A724BF">
      <w:pPr>
        <w:autoSpaceDE w:val="0"/>
        <w:autoSpaceDN w:val="0"/>
        <w:adjustRightInd w:val="0"/>
        <w:spacing w:after="0" w:line="240" w:lineRule="auto"/>
        <w:rPr>
          <w:rFonts w:ascii="Verdana" w:hAnsi="Verdana" w:cs="CIDFont+F2"/>
          <w:b/>
        </w:rPr>
      </w:pPr>
      <w:r w:rsidRPr="003A0D34">
        <w:rPr>
          <w:rFonts w:ascii="Verdana" w:hAnsi="Verdana" w:cs="CIDFont+F2"/>
          <w:b/>
        </w:rPr>
        <w:t>Riscos decorrentes dos passivos contingentes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Na condição de elemento componente do Anexo de Riscos Fiscais, a contingência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passiva pode ser conceituada como evento imprevisível ou previsível, mas de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consequências não estimadas, cuja natureza impede a Administração Pública precisar de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forma definitiva qual o real impacto pode ter na sua atividade financeira.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Os precatórios devem ser enquadrados nessa categoria em razão da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impossibilidade de se definir, de maneira antecipada, o valor que será considerado pelo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Poder Judiciário como devido pelo Ente Público em cada exercício financeiro para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inserção no orçamento do ano subsequente. Além disso, no caso dos Entes possuidores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de estoque de precatórios, contribui para a imprevisibilidade a constante alteração do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quadro legislativo e jurisprudencial que trata da matéria e a consequente indefinição do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prazo e das condições que disporão os devedores para fazer frente a esse passivo.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Em dezembro de 2016, foi promulgada a Emenda Constitucional nº 94,</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responsável por instituir um novo regime de pagamento de precatórios. A alteração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constitucional fixou como termo final para o pagamento da dívida 31 de dezembro de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2020, assim como a obrigação dos devedores eliminarem o estoque existente e os novos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débitos inscritos ao longo desse período. Essa definição constitucional finaliza 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discussão existente acerca do prazo final para a quitação da dívida existente sob a vigência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EC 62/09, posto que, embora o Supremo Tribunal Federal (STF) tivesse definido no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julgamento das ADI´s 4425 e 4357 dezembro de 2020 como prazo final para a quitação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da dívida, havia a possibilidade de nova alteração do quadro diante do recebimento com</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efeitos infringentes dos embargos de declaração opostos pelo Congresso Nacional no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caso.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A EC 94/16 disponibilizou, em auxílio aos devedores, novas fontes de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financiamento extraorçamentário, notadamente a possibilidade da contratação de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operações de crédito fora dos limites constitucionais de endividamento, bem como 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possibilidade de levantamento de um percentual dos depósitos judiciais de créditos não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alimentares realizados em processos com trâmite na localidade.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Contudo, a promulgação da Emenda ocorreu recentemente e ainda há dúvidas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sobre os reais efeitos dessas medidas, seja por não haver como se confirmar se o mercado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financeiro disponibilizará crédito para as entidades para esse fim e em que condições tais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concessões ocorreriam, seja por já existir ADI levantando a discussão sobre 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constitucionalidade do uso dos depósitos judiciais por parte da Fazenda Pública de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processos em que não figure como parte (ADI 5072).</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Por fim, cabe destacar que o pagamento de precatórios pode afetar o resultado primário 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o resultado nominal do Município de São Paulo, na medida em que a despesa com</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pagamento de precatórios é classificada como uma despesa primária. Em sendo assim,</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quanto maior o pagamento de precatórios, tudo o mais constante, maior o déficit primário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a ser observado. Por outro lado, os precatórios posteriores a maio de 2000, por</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determinação da Lei de Responsabilidade Fiscal, são contabilizados para fins de apuração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da dívida consolidada líquida, utilizada como parâmetro para o resultado nominal. Assim,</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quanto maior o pagamento de precatórios, tudo o mais constante, mais baixo o resultado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nominal observado, em função da redução da dívida consolidada. Finalmente, em sendo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realizado o pagamento de precatórios por meio da realização de operações de crédito,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mecanismo autorizado pela Emenda Constitucional n. 94/2016, os efeitos sobre os</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resultados fiscais são ambíguos. Pelo lado do resultado primário, espera-se uma forte</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pressão no aumento de despesas primárias, aumentando o déficit primário, financiado por</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receitas não primárias (receitas financeiras). Pelo lado do resultado nominal, porém, não</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se espera alteração, pois a redução da dívida com precatórios se daria em concomitância</w:t>
      </w:r>
    </w:p>
    <w:p w:rsidR="00A724BF" w:rsidRPr="003A0D34" w:rsidRDefault="00A724BF" w:rsidP="00A724BF">
      <w:pPr>
        <w:autoSpaceDE w:val="0"/>
        <w:autoSpaceDN w:val="0"/>
        <w:adjustRightInd w:val="0"/>
        <w:spacing w:after="0" w:line="240" w:lineRule="auto"/>
        <w:rPr>
          <w:rFonts w:ascii="Verdana" w:hAnsi="Verdana" w:cs="CIDFont+F5"/>
        </w:rPr>
      </w:pPr>
      <w:r w:rsidRPr="003A0D34">
        <w:rPr>
          <w:rFonts w:ascii="Verdana" w:hAnsi="Verdana" w:cs="CIDFont+F5"/>
        </w:rPr>
        <w:t>com a elevação da dívida financeira do Município.</w:t>
      </w:r>
    </w:p>
    <w:p w:rsidR="0048324D" w:rsidRPr="003A0D34" w:rsidRDefault="0048324D" w:rsidP="0048324D">
      <w:pPr>
        <w:autoSpaceDE w:val="0"/>
        <w:autoSpaceDN w:val="0"/>
        <w:adjustRightInd w:val="0"/>
        <w:spacing w:after="0" w:line="240" w:lineRule="auto"/>
        <w:jc w:val="center"/>
        <w:rPr>
          <w:rFonts w:ascii="Verdana" w:hAnsi="Verdana"/>
          <w:b/>
        </w:rPr>
      </w:pPr>
    </w:p>
    <w:p w:rsidR="0048324D" w:rsidRPr="0062437C" w:rsidRDefault="0048324D" w:rsidP="0048324D">
      <w:pPr>
        <w:autoSpaceDE w:val="0"/>
        <w:autoSpaceDN w:val="0"/>
        <w:adjustRightInd w:val="0"/>
        <w:spacing w:after="0" w:line="240" w:lineRule="auto"/>
        <w:jc w:val="center"/>
        <w:rPr>
          <w:rFonts w:ascii="Verdana" w:hAnsi="Verdana"/>
          <w:b/>
          <w:sz w:val="24"/>
        </w:rPr>
      </w:pPr>
      <w:r w:rsidRPr="0062437C">
        <w:rPr>
          <w:rFonts w:ascii="Verdana" w:hAnsi="Verdana"/>
          <w:b/>
          <w:sz w:val="24"/>
        </w:rPr>
        <w:t>Gabinete do Prefeito, pág. 17</w:t>
      </w:r>
    </w:p>
    <w:p w:rsidR="0048324D" w:rsidRPr="003A0D34" w:rsidRDefault="0048324D" w:rsidP="0048324D">
      <w:pPr>
        <w:autoSpaceDE w:val="0"/>
        <w:autoSpaceDN w:val="0"/>
        <w:adjustRightInd w:val="0"/>
        <w:spacing w:after="0" w:line="240" w:lineRule="auto"/>
        <w:jc w:val="center"/>
        <w:rPr>
          <w:rFonts w:ascii="Verdana" w:hAnsi="Verdana"/>
          <w:b/>
        </w:rPr>
      </w:pPr>
    </w:p>
    <w:p w:rsidR="0048324D" w:rsidRPr="003A0D34" w:rsidRDefault="0048324D" w:rsidP="0048324D">
      <w:pPr>
        <w:autoSpaceDE w:val="0"/>
        <w:autoSpaceDN w:val="0"/>
        <w:adjustRightInd w:val="0"/>
        <w:spacing w:after="0" w:line="240" w:lineRule="auto"/>
        <w:rPr>
          <w:rFonts w:ascii="Verdana" w:hAnsi="Verdana" w:cs="Frutiger-BlackCn"/>
          <w:b/>
          <w:bCs/>
        </w:rPr>
      </w:pPr>
      <w:r w:rsidRPr="003A0D34">
        <w:rPr>
          <w:rFonts w:ascii="Verdana" w:hAnsi="Verdana" w:cs="Frutiger-BlackCn"/>
          <w:b/>
          <w:bCs/>
        </w:rPr>
        <w:t>PORTARIA 214, DE 31 DE JULHO DE 2017</w:t>
      </w:r>
    </w:p>
    <w:p w:rsidR="0048324D" w:rsidRPr="003A0D34" w:rsidRDefault="0048324D" w:rsidP="0048324D">
      <w:pPr>
        <w:autoSpaceDE w:val="0"/>
        <w:autoSpaceDN w:val="0"/>
        <w:adjustRightInd w:val="0"/>
        <w:spacing w:after="0" w:line="240" w:lineRule="auto"/>
        <w:rPr>
          <w:rFonts w:ascii="Verdana" w:hAnsi="Verdana" w:cs="Frutiger-BoldCn"/>
          <w:b/>
          <w:bCs/>
        </w:rPr>
      </w:pPr>
      <w:r w:rsidRPr="003A0D34">
        <w:rPr>
          <w:rFonts w:ascii="Verdana" w:hAnsi="Verdana" w:cs="Frutiger-BoldCn"/>
          <w:b/>
          <w:bCs/>
        </w:rPr>
        <w:t>JOÃO DORIA, Prefeito do Município de São Paulo,</w:t>
      </w:r>
    </w:p>
    <w:p w:rsidR="0048324D" w:rsidRPr="003A0D34" w:rsidRDefault="0048324D" w:rsidP="0048324D">
      <w:pPr>
        <w:autoSpaceDE w:val="0"/>
        <w:autoSpaceDN w:val="0"/>
        <w:adjustRightInd w:val="0"/>
        <w:spacing w:after="0" w:line="240" w:lineRule="auto"/>
        <w:rPr>
          <w:rFonts w:ascii="Verdana" w:hAnsi="Verdana" w:cs="Frutiger-BoldCn"/>
          <w:b/>
          <w:bCs/>
        </w:rPr>
      </w:pPr>
      <w:r w:rsidRPr="003A0D34">
        <w:rPr>
          <w:rFonts w:ascii="Verdana" w:hAnsi="Verdana" w:cs="Frutiger-BoldCn"/>
          <w:b/>
          <w:bCs/>
        </w:rPr>
        <w:t>usando das atribuições que lhe são conferidas por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RESOLVE: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Exonerar, a pedido, e a partir de 31/07/2017, o senhor LEANDRO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BENKO BARBOSA, RF 838.566.1, do cargo de Chefe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Gabinete, símbolo CHG, da Chefia de Gabinete, do Gabinete do</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Prefeito Regional, da Prefeitura Regional Lapa, constante da Lei</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15.509/11 e do Decreto 57.576/17.</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PREFEITURA DO MUNICÍPIO DE SÃO PAULO, aos 31 de</w:t>
      </w:r>
    </w:p>
    <w:p w:rsidR="0048324D" w:rsidRPr="003A0D34" w:rsidRDefault="0048324D" w:rsidP="0048324D">
      <w:pPr>
        <w:autoSpaceDE w:val="0"/>
        <w:autoSpaceDN w:val="0"/>
        <w:adjustRightInd w:val="0"/>
        <w:spacing w:after="0" w:line="240" w:lineRule="auto"/>
        <w:rPr>
          <w:rFonts w:ascii="Verdana" w:hAnsi="Verdana" w:cs="Frutiger-Cn"/>
        </w:rPr>
      </w:pPr>
      <w:r w:rsidRPr="003A0D34">
        <w:rPr>
          <w:rFonts w:ascii="Verdana" w:hAnsi="Verdana" w:cs="Frutiger-Cn"/>
        </w:rPr>
        <w:t>julho de 2017, 464º da fundação de São Paulo.</w:t>
      </w:r>
    </w:p>
    <w:p w:rsidR="0048324D" w:rsidRPr="003A0D34" w:rsidRDefault="0048324D" w:rsidP="0048324D">
      <w:pPr>
        <w:autoSpaceDE w:val="0"/>
        <w:autoSpaceDN w:val="0"/>
        <w:adjustRightInd w:val="0"/>
        <w:spacing w:after="0" w:line="240" w:lineRule="auto"/>
        <w:rPr>
          <w:rFonts w:ascii="Verdana" w:hAnsi="Verdana"/>
          <w:b/>
        </w:rPr>
      </w:pPr>
      <w:r w:rsidRPr="003A0D34">
        <w:rPr>
          <w:rFonts w:ascii="Verdana" w:hAnsi="Verdana" w:cs="Frutiger-Cn"/>
        </w:rPr>
        <w:t>JOÃO DORIA, Prefeito</w:t>
      </w:r>
    </w:p>
    <w:p w:rsidR="00D72D5D" w:rsidRPr="003A0D34" w:rsidRDefault="00D72D5D">
      <w:pPr>
        <w:rPr>
          <w:rFonts w:ascii="Verdana" w:hAnsi="Verdana"/>
        </w:rPr>
      </w:pPr>
    </w:p>
    <w:p w:rsidR="00A724BF" w:rsidRPr="0062437C" w:rsidRDefault="00A724BF" w:rsidP="0062437C">
      <w:pPr>
        <w:jc w:val="center"/>
        <w:rPr>
          <w:rFonts w:ascii="Verdana" w:hAnsi="Verdana"/>
          <w:b/>
          <w:sz w:val="24"/>
        </w:rPr>
      </w:pPr>
      <w:r w:rsidRPr="0062437C">
        <w:rPr>
          <w:rFonts w:ascii="Verdana" w:hAnsi="Verdana"/>
          <w:b/>
          <w:sz w:val="24"/>
        </w:rPr>
        <w:t>Secretarias, pág. 17</w:t>
      </w:r>
    </w:p>
    <w:p w:rsidR="00A724BF" w:rsidRPr="003A0D34" w:rsidRDefault="00A724BF" w:rsidP="00A724BF">
      <w:pPr>
        <w:autoSpaceDE w:val="0"/>
        <w:autoSpaceDN w:val="0"/>
        <w:adjustRightInd w:val="0"/>
        <w:spacing w:after="0" w:line="240" w:lineRule="auto"/>
        <w:rPr>
          <w:rFonts w:ascii="Verdana" w:hAnsi="Verdana" w:cs="Frutiger-BlackCn"/>
          <w:b/>
          <w:bCs/>
        </w:rPr>
      </w:pPr>
      <w:r w:rsidRPr="003A0D34">
        <w:rPr>
          <w:rFonts w:ascii="Verdana" w:hAnsi="Verdana" w:cs="Frutiger-BlackCn"/>
          <w:b/>
          <w:bCs/>
        </w:rPr>
        <w:t>TRABALHO E</w:t>
      </w:r>
      <w:r w:rsidR="0062437C">
        <w:rPr>
          <w:rFonts w:ascii="Verdana" w:hAnsi="Verdana" w:cs="Frutiger-BlackCn"/>
          <w:b/>
          <w:bCs/>
        </w:rPr>
        <w:t xml:space="preserve"> </w:t>
      </w:r>
      <w:r w:rsidRPr="003A0D34">
        <w:rPr>
          <w:rFonts w:ascii="Verdana" w:hAnsi="Verdana" w:cs="Frutiger-BlackCn"/>
          <w:b/>
          <w:bCs/>
        </w:rPr>
        <w:t>EMPREENDEDORISMO</w:t>
      </w: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BoldCn"/>
          <w:b/>
          <w:bCs/>
        </w:rPr>
        <w:t>GABINETE DA SECRETÁRIA</w:t>
      </w:r>
    </w:p>
    <w:p w:rsidR="0062437C" w:rsidRDefault="0062437C" w:rsidP="00A724BF">
      <w:pPr>
        <w:autoSpaceDE w:val="0"/>
        <w:autoSpaceDN w:val="0"/>
        <w:adjustRightInd w:val="0"/>
        <w:spacing w:after="0" w:line="240" w:lineRule="auto"/>
        <w:rPr>
          <w:rFonts w:ascii="Verdana" w:hAnsi="Verdana" w:cs="Frutiger-Cn"/>
        </w:rPr>
      </w:pPr>
    </w:p>
    <w:p w:rsidR="00A724BF" w:rsidRPr="0062437C" w:rsidRDefault="00A724BF" w:rsidP="00A724BF">
      <w:pPr>
        <w:autoSpaceDE w:val="0"/>
        <w:autoSpaceDN w:val="0"/>
        <w:adjustRightInd w:val="0"/>
        <w:spacing w:after="0" w:line="240" w:lineRule="auto"/>
        <w:rPr>
          <w:rFonts w:ascii="Verdana" w:hAnsi="Verdana" w:cs="Frutiger-Cn"/>
          <w:b/>
        </w:rPr>
      </w:pPr>
      <w:r w:rsidRPr="0062437C">
        <w:rPr>
          <w:rFonts w:ascii="Verdana" w:hAnsi="Verdana" w:cs="Frutiger-Cn"/>
          <w:b/>
        </w:rPr>
        <w:t>COORDENADORIA DE SEGURANÇA ALIMENTAR</w:t>
      </w:r>
      <w:r w:rsidR="0062437C" w:rsidRPr="0062437C">
        <w:rPr>
          <w:rFonts w:ascii="Verdana" w:hAnsi="Verdana" w:cs="Frutiger-Cn"/>
          <w:b/>
        </w:rPr>
        <w:t xml:space="preserve"> </w:t>
      </w:r>
      <w:r w:rsidRPr="0062437C">
        <w:rPr>
          <w:rFonts w:ascii="Verdana" w:hAnsi="Verdana" w:cs="Frutiger-Cn"/>
          <w:b/>
        </w:rPr>
        <w:t>E NUTRICIONAL</w:t>
      </w:r>
    </w:p>
    <w:p w:rsidR="00A724BF" w:rsidRPr="003A0D34" w:rsidRDefault="00A724BF" w:rsidP="00A724BF">
      <w:pPr>
        <w:autoSpaceDE w:val="0"/>
        <w:autoSpaceDN w:val="0"/>
        <w:adjustRightInd w:val="0"/>
        <w:spacing w:after="0" w:line="240" w:lineRule="auto"/>
        <w:rPr>
          <w:rFonts w:ascii="Verdana" w:hAnsi="Verdana" w:cs="Frutiger-BlackCn"/>
          <w:b/>
          <w:bCs/>
        </w:rPr>
      </w:pPr>
      <w:r w:rsidRPr="003A0D34">
        <w:rPr>
          <w:rFonts w:ascii="Verdana" w:hAnsi="Verdana" w:cs="Frutiger-BlackCn"/>
          <w:b/>
          <w:bCs/>
        </w:rPr>
        <w:t>DESPACHO DO COORDENADOR</w:t>
      </w: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BoldCn"/>
          <w:b/>
          <w:bCs/>
        </w:rPr>
        <w:t>Revogação da Permissão de Uso</w:t>
      </w: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BoldCn"/>
          <w:b/>
          <w:bCs/>
        </w:rPr>
        <w:t>2017-0.113.892-8</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Kelly Ferreira de Assunção-ME –– O Coordenador de Segurança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Alimentar e Nutricional, no uso das atribuições que lhe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são concedidas por Lei, em especial o Decreto nº 46.398,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28 de setembro de 2005 e pelo Decreto n.º 56.399, de 09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setembro de 2015. I-RESOLVE: 1.1. À vista das informações da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Supervisão de Mercados e Sacolões, e dos demais elementos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constantes do presente, notadamente da manifestação da Assessoria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jurídica, que acolho e adoto como razão de decidir, com</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fulcro no art.25, inciso II, do Decreto nº 41.425/2001 e cláusulas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 xml:space="preserve">III e V, itens 3.8, 5.1 do TPU, </w:t>
      </w:r>
      <w:r w:rsidRPr="003A0D34">
        <w:rPr>
          <w:rFonts w:ascii="Verdana" w:hAnsi="Verdana" w:cs="Frutiger-BoldCn"/>
          <w:b/>
          <w:bCs/>
        </w:rPr>
        <w:t xml:space="preserve">REVOGO </w:t>
      </w:r>
      <w:r w:rsidRPr="003A0D34">
        <w:rPr>
          <w:rFonts w:ascii="Verdana" w:hAnsi="Verdana" w:cs="Frutiger-Cn"/>
        </w:rPr>
        <w:t>a permissão de uso outorgada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 xml:space="preserve">à </w:t>
      </w:r>
      <w:r w:rsidRPr="003A0D34">
        <w:rPr>
          <w:rFonts w:ascii="Verdana" w:hAnsi="Verdana" w:cs="Frutiger-BoldCn"/>
          <w:b/>
          <w:bCs/>
        </w:rPr>
        <w:t>KELLY FERREIRA DE ASSUNÇÃO-ME</w:t>
      </w:r>
      <w:r w:rsidRPr="003A0D34">
        <w:rPr>
          <w:rFonts w:ascii="Verdana" w:hAnsi="Verdana" w:cs="Frutiger-Cn"/>
        </w:rPr>
        <w:t>, representada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pela pessoa física, inscrita no CNPJ, sob nº 23.291.402/0001-98,</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ocupante do boxe 51, rua “G”, na Central de Abastecimento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Pátio do Pari, a partir da publicação deste ato e desde que não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seja comprovado o pagamento integral dos débitos no prazo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 15(quinze) dias, contados a partir da publicação deste para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apresentação de recurso. 1.2. A empresa deverá desocupar 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área mantendo-a livre e desembaraçadas de pessoas e coisas,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sob pena de remoção de eventuais bens móveis encontrados no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local, nos termos da Portaria nº. 106/SDTE-2016/GABINETE, publicada</w:t>
      </w:r>
    </w:p>
    <w:p w:rsidR="00A724BF" w:rsidRPr="003A0D34" w:rsidRDefault="00A724BF" w:rsidP="00A724BF">
      <w:pPr>
        <w:rPr>
          <w:rFonts w:ascii="Verdana" w:hAnsi="Verdana" w:cs="Frutiger-Cn"/>
        </w:rPr>
      </w:pPr>
      <w:r w:rsidRPr="003A0D34">
        <w:rPr>
          <w:rFonts w:ascii="Verdana" w:hAnsi="Verdana" w:cs="Frutiger-Cn"/>
        </w:rPr>
        <w:t>no Diário Oficial da Cidade de São Paulo de 18/11/2016.</w:t>
      </w:r>
    </w:p>
    <w:p w:rsidR="00A724BF" w:rsidRPr="003A0D34" w:rsidRDefault="00A724BF" w:rsidP="00A724BF">
      <w:pPr>
        <w:autoSpaceDE w:val="0"/>
        <w:autoSpaceDN w:val="0"/>
        <w:adjustRightInd w:val="0"/>
        <w:spacing w:after="0" w:line="240" w:lineRule="auto"/>
        <w:rPr>
          <w:rFonts w:ascii="Verdana" w:hAnsi="Verdana" w:cs="Frutiger-BlackCn"/>
          <w:b/>
          <w:bCs/>
        </w:rPr>
      </w:pPr>
      <w:r w:rsidRPr="003A0D34">
        <w:rPr>
          <w:rFonts w:ascii="Verdana" w:hAnsi="Verdana" w:cs="Frutiger-BlackCn"/>
          <w:b/>
          <w:bCs/>
        </w:rPr>
        <w:t>EXTRATOS DE TERMOS ADITIVO</w:t>
      </w: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BoldCn"/>
          <w:b/>
          <w:bCs/>
        </w:rPr>
        <w:t>2017-0.085.018-7</w:t>
      </w: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Cn"/>
        </w:rPr>
        <w:t xml:space="preserve">Permitente: PMSP/SMTE/COSAN – Permissionária: </w:t>
      </w:r>
      <w:r w:rsidRPr="003A0D34">
        <w:rPr>
          <w:rFonts w:ascii="Verdana" w:hAnsi="Verdana" w:cs="Frutiger-BoldCn"/>
          <w:b/>
          <w:bCs/>
        </w:rPr>
        <w:t>HORTIFRUTÍCOLA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BoldCn"/>
          <w:b/>
          <w:bCs/>
        </w:rPr>
        <w:t>MORANGUINHO LTDA-ME</w:t>
      </w:r>
      <w:r w:rsidRPr="003A0D34">
        <w:rPr>
          <w:rFonts w:ascii="Verdana" w:hAnsi="Verdana" w:cs="Frutiger-Cn"/>
        </w:rPr>
        <w:t>. – Objeto: Utilização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 excesso de área. CLÁUSULA PRIMEIRA DO OBJETO – 1.</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Autorização para utilização da área de 4,50m², pela empresa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“Hortifruticola Moranguinho LTDA - ME”, Permissionária do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Boxe n.º 25, do Mercado Municipal Senador Antônio Emydio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 Barros - Penha. CLÁUSULA SEGUNDA DAS OBRIGAÇÕES DA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PERMISSIONÁRIA – 2. A Permissionária deverá respeitar as normas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contidas nos §§ 1º, 2º, 3º, 4º, 5º e 6º, do art. 7º, do Decreto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n.º 41.425/2001, a seguir descritas: 2.1. Essa exposição só será</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permitida quando nos corredores for respeitado o limite mínimo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 2 (dois) metros de largura, liberados para a circulação dos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frequentadores. 2.2. Os espaços destinados à exposição das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mercadorias não poderão exceder o limite máximo de 50 (cinquenta)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centímetros à frente dos boxes e bancas e, quando estes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se localizarem nas esquinas, somente um dos lados poderá</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ser utilizado. 2.3. Para a exposição das mercadorias devem ser</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utilizados equipamentos adequados, respeitando-se as normas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higiênico-sanitárias vigentes e evitando-se as improvisações.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2.4. Os espaços utilizados para a exposição das mercadorias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devem ser mantidos em perfeitas condições de higiene. 2.5.</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Ao término de cada expediente, todas as mercadorias expostas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fora dos limites dos boxes e bancas devem ser recolhidas ao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seu interior. 2.6. Desobedecidas as normas descritas nos parágrafos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anteriores, ou a critério da Coordenadoria de Segurança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Alimentar e Nutricional, a autorização poderá cessar. CLÁUSULA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TERCEIRA DA ÁREA – 3. O preço devido pela ocupação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área será anual, calculado de acordo com o estabelecido em</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decreto do Executivo, que será atualizado anualmente, com 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acréscimo ofertado na proposta apresentada no processo licitatório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e cobrado em até 10 (dez) parcelas mensais. 3.1. A área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ora autorizada de 4,50m² não integrará a Permissão de Uso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expedida em favor da Permissionária.</w:t>
      </w:r>
    </w:p>
    <w:p w:rsidR="0062437C" w:rsidRDefault="0062437C" w:rsidP="00A724BF">
      <w:pPr>
        <w:autoSpaceDE w:val="0"/>
        <w:autoSpaceDN w:val="0"/>
        <w:adjustRightInd w:val="0"/>
        <w:spacing w:after="0" w:line="240" w:lineRule="auto"/>
        <w:rPr>
          <w:rFonts w:ascii="Verdana" w:hAnsi="Verdana" w:cs="Frutiger-BoldCn"/>
          <w:b/>
          <w:bCs/>
        </w:rPr>
      </w:pP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BoldCn"/>
          <w:b/>
          <w:bCs/>
        </w:rPr>
        <w:t>2017-0.085.020-9</w:t>
      </w: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Cn"/>
        </w:rPr>
        <w:t xml:space="preserve">Permitente: PMSP/SMTE/COSAN – Permissionária: </w:t>
      </w:r>
      <w:r w:rsidRPr="003A0D34">
        <w:rPr>
          <w:rFonts w:ascii="Verdana" w:hAnsi="Verdana" w:cs="Frutiger-BoldCn"/>
          <w:b/>
          <w:bCs/>
        </w:rPr>
        <w:t>CAROLINA</w:t>
      </w: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BoldCn"/>
          <w:b/>
          <w:bCs/>
        </w:rPr>
        <w:t>CRISTINA BIANCHI FAGUNDES HORTIFRUTIGRANJEIROS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BoldCn"/>
          <w:b/>
          <w:bCs/>
        </w:rPr>
        <w:t>- ME</w:t>
      </w:r>
      <w:r w:rsidRPr="003A0D34">
        <w:rPr>
          <w:rFonts w:ascii="Verdana" w:hAnsi="Verdana" w:cs="Frutiger-Cn"/>
        </w:rPr>
        <w:t>. – Objeto: Utilização de excesso de área. CLÁUSULA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PRIMEIRA DO OBJETO – 1. Autorização para utilização da área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 5,00m², pela empresa “Carolina Cristina Bianchi Fagundes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Hortifrutigranjeiros - ME”, Permissionária do Boxe n.º 17, do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Mercado Municipal Senador Antônio Emydio de Barros - Penha.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CLÁUSULA SEGUNDA DAS OBRIGAÇÕES DA PERMISSIONÁRIA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 2. A Permissionária deverá respeitar as normas contidas nos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 1º, 2º, 3º, 4º, 5º e 6º, do art. 7º, do Decreto n.º 41.425/2001,</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 seguir descritas: 2.1. Essa exposição só será permitida quando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nos corredores for respeitado o limite mínimo de 2 (dois) metros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 largura, liberados para a circulação dos frequentadores.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2.2. Os espaços destinados à exposição das mercadorias não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poderão exceder o limite máximo de 50 (cinquenta) centímetros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à frente dos boxes e bancas e, quando estes se localizarem</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nas esquinas, somente um dos lados poderá ser utilizado.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2.3. Para a exposição das mercadorias devem ser utilizados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equipamentos adequados, respeitando-se as normas higiênico-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-sanitárias vigentes e evitando-se as improvisações. 2.4. 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espaços utilizados para a exposição das mercadorias devem ser</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mantidos em perfeitas condições de higiene. 2.5. Ao término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cada expediente, todas as mercadorias expostas fora dos limites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dos boxes e bancas devem ser recolhidas ao seu interior. 2.6.</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Desobedecidas as normas descritas nos parágrafos anteriores,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ou a critério da Coordenadoria de Segurança Alimentar e Nutricional,</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 autorização poderá cessar. CLÁUSULA TERCEIRA DA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ÁREA – 3. O preço devido pela ocupação de área será anual,</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calculado de acordo com o estabelecido em decreto do Executivo,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que será atualizado anualmente, com o acréscimo ofertado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na proposta apresentada no processo licitatório e cobrado em</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até 10 (dez) parcelas mensais. 3.1. A área ora autorizada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5,00m² não integrará a Permissão de Uso expedida em favor</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da Permissionária.</w:t>
      </w:r>
    </w:p>
    <w:p w:rsidR="0062437C" w:rsidRDefault="0062437C" w:rsidP="00A724BF">
      <w:pPr>
        <w:autoSpaceDE w:val="0"/>
        <w:autoSpaceDN w:val="0"/>
        <w:adjustRightInd w:val="0"/>
        <w:spacing w:after="0" w:line="240" w:lineRule="auto"/>
        <w:rPr>
          <w:rFonts w:ascii="Verdana" w:hAnsi="Verdana" w:cs="Frutiger-BoldCn"/>
          <w:b/>
          <w:bCs/>
        </w:rPr>
      </w:pP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BoldCn"/>
          <w:b/>
          <w:bCs/>
        </w:rPr>
        <w:t>2017-0.080.244-1</w:t>
      </w: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Cn"/>
        </w:rPr>
        <w:t xml:space="preserve">Permitente: PMSP/SMTE/COSAN – Permissionária: </w:t>
      </w:r>
      <w:r w:rsidRPr="003A0D34">
        <w:rPr>
          <w:rFonts w:ascii="Verdana" w:hAnsi="Verdana" w:cs="Frutiger-BoldCn"/>
          <w:b/>
          <w:bCs/>
        </w:rPr>
        <w:t>FRAMBOR</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BoldCn"/>
          <w:b/>
          <w:bCs/>
        </w:rPr>
        <w:t>EMPORIO LTDA - ME</w:t>
      </w:r>
      <w:r w:rsidRPr="003A0D34">
        <w:rPr>
          <w:rFonts w:ascii="Verdana" w:hAnsi="Verdana" w:cs="Frutiger-Cn"/>
        </w:rPr>
        <w:t>. – Objeto: Utilização de excesso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área. CLÁUSULA PRIMEIRA DO OBJETO – 1. Autorização para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utilização da área de 6,20m², pela empresa “Frambor Emporio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Ltda - ME”, Permissionária do Boxe n.º 10/13, do Mercado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Municipal Senador Antônio Emydio de Barros - Penha. CLÁUSULA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SEGUNDA DAS OBRIGAÇÕES DA PERMISSIONÁRIA – 2.</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 Permissionária deverá respeitar as normas contidas nos §§</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1º, 2º, 3º, 4º, 5º e 6º, do art. 7º, do Decreto n.º 41.425/2001, 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seguir descritas: 2.1. Essa exposição só será permitida quando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nos corredores for respeitado o limite mínimo de 2 (dois) metros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 largura, liberados para a circulação dos frequentadores.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2.2. Os espaços destinados à exposição das mercadorias não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poderão exceder o limite máximo de 50 (cinquenta) centímetros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à frente dos boxes e bancas e, quando estes se localizarem</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nas esquinas, somente um dos lados poderá ser utilizado.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2.3. Para a exposição das mercadorias devem ser utilizados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equipamentos adequados, respeitando-se as normas higiênico-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-sanitárias vigentes e evitando-se as improvisações. 2.4. 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espaços utilizados para a exposição das mercadorias devem ser</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mantidos em perfeitas condições de higiene. 2.5. Ao término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cada expediente, todas as mercadorias expostas fora dos limites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dos boxes e bancas devem ser recolhidas ao seu interior. 2.6.</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Desobedecidas as normas descritas nos parágrafos anteriores,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ou a critério da Coordenadoria de Segurança Alimentar e Nutricional,</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 autorização poderá cessar. CLÁUSULA TERCEIRA DA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ÁREA – 3. O preço devido pela ocupação de área será anual,</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calculado de acordo com o estabelecido em decreto do Executivo,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que será atualizado anualmente, com o acréscimo ofertado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na proposta apresentada no processo licitatório e cobrado em</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até 10 (dez) parcelas mensais. 3.1. A área ora autorizada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6,20m² não integrará a Permissão de Uso expedida em favor</w:t>
      </w:r>
    </w:p>
    <w:p w:rsidR="00A724BF" w:rsidRPr="003A0D34" w:rsidRDefault="00A724BF" w:rsidP="00A724BF">
      <w:pPr>
        <w:rPr>
          <w:rFonts w:ascii="Verdana" w:hAnsi="Verdana" w:cs="Frutiger-Cn"/>
        </w:rPr>
      </w:pPr>
      <w:r w:rsidRPr="003A0D34">
        <w:rPr>
          <w:rFonts w:ascii="Verdana" w:hAnsi="Verdana" w:cs="Frutiger-Cn"/>
        </w:rPr>
        <w:t>da Permissionária.</w:t>
      </w:r>
    </w:p>
    <w:p w:rsidR="00A724BF" w:rsidRPr="0062437C" w:rsidRDefault="00A724BF" w:rsidP="0062437C">
      <w:pPr>
        <w:jc w:val="center"/>
        <w:rPr>
          <w:rFonts w:ascii="Verdana" w:hAnsi="Verdana" w:cs="Frutiger-Cn"/>
          <w:b/>
          <w:sz w:val="24"/>
        </w:rPr>
      </w:pPr>
      <w:r w:rsidRPr="0062437C">
        <w:rPr>
          <w:rFonts w:ascii="Verdana" w:hAnsi="Verdana" w:cs="Frutiger-Cn"/>
          <w:b/>
          <w:sz w:val="24"/>
        </w:rPr>
        <w:t>Servidores, pág. 70</w:t>
      </w:r>
    </w:p>
    <w:p w:rsidR="00A724BF" w:rsidRPr="003A0D34" w:rsidRDefault="00A724BF" w:rsidP="00A724BF">
      <w:pPr>
        <w:autoSpaceDE w:val="0"/>
        <w:autoSpaceDN w:val="0"/>
        <w:adjustRightInd w:val="0"/>
        <w:spacing w:after="0" w:line="240" w:lineRule="auto"/>
        <w:rPr>
          <w:rFonts w:ascii="Verdana" w:hAnsi="Verdana" w:cs="Frutiger-BlackCn"/>
          <w:b/>
          <w:bCs/>
        </w:rPr>
      </w:pPr>
      <w:r w:rsidRPr="003A0D34">
        <w:rPr>
          <w:rFonts w:ascii="Verdana" w:hAnsi="Verdana" w:cs="Frutiger-BlackCn"/>
          <w:b/>
          <w:bCs/>
        </w:rPr>
        <w:t>TRABALHO E</w:t>
      </w:r>
      <w:r w:rsidR="0062437C">
        <w:rPr>
          <w:rFonts w:ascii="Verdana" w:hAnsi="Verdana" w:cs="Frutiger-BlackCn"/>
          <w:b/>
          <w:bCs/>
        </w:rPr>
        <w:t xml:space="preserve"> </w:t>
      </w:r>
      <w:r w:rsidRPr="003A0D34">
        <w:rPr>
          <w:rFonts w:ascii="Verdana" w:hAnsi="Verdana" w:cs="Frutiger-BlackCn"/>
          <w:b/>
          <w:bCs/>
        </w:rPr>
        <w:t>EMPREENDEDORISMO</w:t>
      </w: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BoldCn"/>
          <w:b/>
          <w:bCs/>
        </w:rPr>
        <w:t>GABINETE DA SECRETÁRIA</w:t>
      </w:r>
    </w:p>
    <w:p w:rsidR="0062437C" w:rsidRDefault="0062437C" w:rsidP="00A724BF">
      <w:pPr>
        <w:autoSpaceDE w:val="0"/>
        <w:autoSpaceDN w:val="0"/>
        <w:adjustRightInd w:val="0"/>
        <w:spacing w:after="0" w:line="240" w:lineRule="auto"/>
        <w:rPr>
          <w:rFonts w:ascii="Verdana" w:hAnsi="Verdana" w:cs="Frutiger-BlackCn"/>
          <w:b/>
          <w:bCs/>
        </w:rPr>
      </w:pPr>
    </w:p>
    <w:p w:rsidR="00A724BF" w:rsidRPr="003A0D34" w:rsidRDefault="00A724BF" w:rsidP="00A724BF">
      <w:pPr>
        <w:autoSpaceDE w:val="0"/>
        <w:autoSpaceDN w:val="0"/>
        <w:adjustRightInd w:val="0"/>
        <w:spacing w:after="0" w:line="240" w:lineRule="auto"/>
        <w:rPr>
          <w:rFonts w:ascii="Verdana" w:hAnsi="Verdana" w:cs="Frutiger-BlackCn"/>
          <w:b/>
          <w:bCs/>
        </w:rPr>
      </w:pPr>
      <w:r w:rsidRPr="003A0D34">
        <w:rPr>
          <w:rFonts w:ascii="Verdana" w:hAnsi="Verdana" w:cs="Frutiger-BlackCn"/>
          <w:b/>
          <w:bCs/>
        </w:rPr>
        <w:t>SUPERVISÃO DE GESTÃO DE PESSOAS</w:t>
      </w: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BoldCn"/>
          <w:b/>
          <w:bCs/>
        </w:rPr>
        <w:t>RELAÇÃO DE ADICIONAIS POR TEMPO DE SERVIÇO</w:t>
      </w:r>
    </w:p>
    <w:p w:rsidR="00A724BF" w:rsidRPr="003A0D34" w:rsidRDefault="00A724BF" w:rsidP="00A724BF">
      <w:pPr>
        <w:rPr>
          <w:rFonts w:ascii="Verdana" w:hAnsi="Verdana" w:cs="Frutiger-BoldCn"/>
          <w:b/>
          <w:bCs/>
        </w:rPr>
      </w:pPr>
      <w:r w:rsidRPr="003A0D34">
        <w:rPr>
          <w:rFonts w:ascii="Verdana" w:hAnsi="Verdana" w:cs="Frutiger-BoldCn"/>
          <w:b/>
          <w:bCs/>
        </w:rPr>
        <w:t>NOS TERMOS DO ARTIGO 112, DA LEI 8989/79</w:t>
      </w:r>
    </w:p>
    <w:p w:rsidR="00A724BF" w:rsidRPr="003A0D34" w:rsidRDefault="00A724BF" w:rsidP="00A724BF">
      <w:pPr>
        <w:rPr>
          <w:rFonts w:ascii="Verdana" w:hAnsi="Verdana"/>
        </w:rPr>
      </w:pPr>
      <w:r w:rsidRPr="003A0D34">
        <w:rPr>
          <w:rFonts w:ascii="Verdana" w:hAnsi="Verdana"/>
          <w:noProof/>
          <w:lang w:eastAsia="pt-BR"/>
        </w:rPr>
        <w:drawing>
          <wp:inline distT="0" distB="0" distL="0" distR="0" wp14:anchorId="759C4C02" wp14:editId="081CEBEE">
            <wp:extent cx="4049485" cy="386965"/>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49205" cy="386938"/>
                    </a:xfrm>
                    <a:prstGeom prst="rect">
                      <a:avLst/>
                    </a:prstGeom>
                    <a:noFill/>
                    <a:ln>
                      <a:noFill/>
                    </a:ln>
                  </pic:spPr>
                </pic:pic>
              </a:graphicData>
            </a:graphic>
          </wp:inline>
        </w:drawing>
      </w:r>
    </w:p>
    <w:p w:rsidR="00A724BF" w:rsidRPr="003A0D34" w:rsidRDefault="00A724BF" w:rsidP="00A724BF">
      <w:pPr>
        <w:autoSpaceDE w:val="0"/>
        <w:autoSpaceDN w:val="0"/>
        <w:adjustRightInd w:val="0"/>
        <w:spacing w:after="0" w:line="240" w:lineRule="auto"/>
        <w:rPr>
          <w:rFonts w:ascii="Verdana" w:hAnsi="Verdana" w:cs="Frutiger-BlackCn"/>
          <w:b/>
          <w:bCs/>
        </w:rPr>
      </w:pPr>
      <w:r w:rsidRPr="003A0D34">
        <w:rPr>
          <w:rFonts w:ascii="Verdana" w:hAnsi="Verdana" w:cs="Frutiger-BlackCn"/>
          <w:b/>
          <w:bCs/>
        </w:rPr>
        <w:t>A SECRETARIA MUNICIPAL DE TRABALHO E EMPREENDEDORISMO POR MEIO DA SUPERVISÃO</w:t>
      </w:r>
      <w:r w:rsidR="0062437C">
        <w:rPr>
          <w:rFonts w:ascii="Verdana" w:hAnsi="Verdana" w:cs="Frutiger-BlackCn"/>
          <w:b/>
          <w:bCs/>
        </w:rPr>
        <w:t xml:space="preserve"> </w:t>
      </w:r>
      <w:r w:rsidRPr="003A0D34">
        <w:rPr>
          <w:rFonts w:ascii="Verdana" w:hAnsi="Verdana" w:cs="Frutiger-BlackCn"/>
          <w:b/>
          <w:bCs/>
        </w:rPr>
        <w:t>DE GESTÃO DE PESSOAS/ ESTÁGIO DIVULGA OS ESTAGIÁRIOS CONTRATADOS E DESLIGADOS NO</w:t>
      </w:r>
    </w:p>
    <w:p w:rsidR="00A724BF" w:rsidRPr="003A0D34" w:rsidRDefault="00A724BF" w:rsidP="00A724BF">
      <w:pPr>
        <w:rPr>
          <w:rFonts w:ascii="Verdana" w:hAnsi="Verdana" w:cs="Frutiger-BlackCn"/>
          <w:b/>
          <w:bCs/>
        </w:rPr>
      </w:pPr>
      <w:r w:rsidRPr="003A0D34">
        <w:rPr>
          <w:rFonts w:ascii="Verdana" w:hAnsi="Verdana" w:cs="Frutiger-BlackCn"/>
          <w:b/>
          <w:bCs/>
        </w:rPr>
        <w:t xml:space="preserve">PERÍODO DE </w:t>
      </w:r>
      <w:r w:rsidRPr="003A0D34">
        <w:rPr>
          <w:rFonts w:ascii="Verdana" w:hAnsi="Verdana" w:cs="Frutiger-BoldCn"/>
          <w:b/>
          <w:bCs/>
        </w:rPr>
        <w:t xml:space="preserve">01/07 A 31/07/2017, </w:t>
      </w:r>
      <w:r w:rsidRPr="003A0D34">
        <w:rPr>
          <w:rFonts w:ascii="Verdana" w:hAnsi="Verdana" w:cs="Frutiger-BlackCn"/>
          <w:b/>
          <w:bCs/>
        </w:rPr>
        <w:t>ATENDENDO AO ITEM 4 DA PORTARIA 210/02/SGP:</w:t>
      </w:r>
    </w:p>
    <w:p w:rsidR="00A724BF" w:rsidRPr="003A0D34" w:rsidRDefault="00A724BF" w:rsidP="00A724BF">
      <w:pPr>
        <w:rPr>
          <w:rFonts w:ascii="Verdana" w:hAnsi="Verdana"/>
        </w:rPr>
      </w:pPr>
      <w:r w:rsidRPr="003A0D34">
        <w:rPr>
          <w:rFonts w:ascii="Verdana" w:hAnsi="Verdana"/>
          <w:noProof/>
          <w:lang w:eastAsia="pt-BR"/>
        </w:rPr>
        <w:drawing>
          <wp:inline distT="0" distB="0" distL="0" distR="0" wp14:anchorId="54CA732D" wp14:editId="75B15571">
            <wp:extent cx="6127667" cy="1940249"/>
            <wp:effectExtent l="0" t="0" r="6985" b="317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6983" cy="1940032"/>
                    </a:xfrm>
                    <a:prstGeom prst="rect">
                      <a:avLst/>
                    </a:prstGeom>
                    <a:noFill/>
                    <a:ln>
                      <a:noFill/>
                    </a:ln>
                  </pic:spPr>
                </pic:pic>
              </a:graphicData>
            </a:graphic>
          </wp:inline>
        </w:drawing>
      </w:r>
    </w:p>
    <w:p w:rsidR="00A724BF" w:rsidRPr="003A0D34" w:rsidRDefault="00A724BF" w:rsidP="00A724BF">
      <w:pPr>
        <w:autoSpaceDE w:val="0"/>
        <w:autoSpaceDN w:val="0"/>
        <w:adjustRightInd w:val="0"/>
        <w:spacing w:after="0" w:line="240" w:lineRule="auto"/>
        <w:rPr>
          <w:rFonts w:ascii="Verdana" w:hAnsi="Verdana" w:cs="Frutiger-BlackCn"/>
          <w:b/>
          <w:bCs/>
        </w:rPr>
      </w:pPr>
      <w:r w:rsidRPr="003A0D34">
        <w:rPr>
          <w:rFonts w:ascii="Verdana" w:hAnsi="Verdana" w:cs="Frutiger-BlackCn"/>
          <w:b/>
          <w:bCs/>
        </w:rPr>
        <w:t>LICENÇA PATERNIDADE</w:t>
      </w:r>
    </w:p>
    <w:p w:rsidR="00A724BF" w:rsidRPr="003A0D34" w:rsidRDefault="00A724BF" w:rsidP="0062437C">
      <w:pPr>
        <w:autoSpaceDE w:val="0"/>
        <w:autoSpaceDN w:val="0"/>
        <w:adjustRightInd w:val="0"/>
        <w:spacing w:after="0" w:line="240" w:lineRule="auto"/>
        <w:rPr>
          <w:rFonts w:ascii="Verdana" w:hAnsi="Verdana" w:cs="Frutiger-BoldCn"/>
          <w:b/>
          <w:bCs/>
        </w:rPr>
      </w:pPr>
      <w:r w:rsidRPr="003A0D34">
        <w:rPr>
          <w:rFonts w:ascii="Verdana" w:hAnsi="Verdana" w:cs="Frutiger-BoldCn"/>
          <w:b/>
          <w:bCs/>
        </w:rPr>
        <w:t>Concedida nos termos da Lei 10.726/89, pelo nascimento</w:t>
      </w:r>
      <w:r w:rsidR="0062437C">
        <w:rPr>
          <w:rFonts w:ascii="Verdana" w:hAnsi="Verdana" w:cs="Frutiger-BoldCn"/>
          <w:b/>
          <w:bCs/>
        </w:rPr>
        <w:t xml:space="preserve"> </w:t>
      </w:r>
      <w:r w:rsidRPr="003A0D34">
        <w:rPr>
          <w:rFonts w:ascii="Verdana" w:hAnsi="Verdana" w:cs="Frutiger-BoldCn"/>
          <w:b/>
          <w:bCs/>
        </w:rPr>
        <w:t>de seu filho.</w:t>
      </w:r>
    </w:p>
    <w:p w:rsidR="00A724BF" w:rsidRPr="003A0D34" w:rsidRDefault="00A724BF" w:rsidP="00A724BF">
      <w:pPr>
        <w:rPr>
          <w:rFonts w:ascii="Verdana" w:hAnsi="Verdana"/>
        </w:rPr>
      </w:pPr>
      <w:r w:rsidRPr="003A0D34">
        <w:rPr>
          <w:rFonts w:ascii="Verdana" w:hAnsi="Verdana"/>
          <w:noProof/>
          <w:lang w:eastAsia="pt-BR"/>
        </w:rPr>
        <w:drawing>
          <wp:inline distT="0" distB="0" distL="0" distR="0" wp14:anchorId="67E6FC56" wp14:editId="236B700C">
            <wp:extent cx="3990109" cy="40418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89927" cy="404162"/>
                    </a:xfrm>
                    <a:prstGeom prst="rect">
                      <a:avLst/>
                    </a:prstGeom>
                    <a:noFill/>
                    <a:ln>
                      <a:noFill/>
                    </a:ln>
                  </pic:spPr>
                </pic:pic>
              </a:graphicData>
            </a:graphic>
          </wp:inline>
        </w:drawing>
      </w:r>
    </w:p>
    <w:p w:rsidR="00A724BF" w:rsidRPr="0062437C" w:rsidRDefault="00A724BF" w:rsidP="0062437C">
      <w:pPr>
        <w:jc w:val="center"/>
        <w:rPr>
          <w:rFonts w:ascii="Verdana" w:hAnsi="Verdana"/>
          <w:b/>
          <w:sz w:val="24"/>
        </w:rPr>
      </w:pPr>
      <w:r w:rsidRPr="0062437C">
        <w:rPr>
          <w:rFonts w:ascii="Verdana" w:hAnsi="Verdana"/>
          <w:b/>
          <w:sz w:val="24"/>
        </w:rPr>
        <w:t>Editais, pág. 88</w:t>
      </w:r>
    </w:p>
    <w:p w:rsidR="00A724BF" w:rsidRPr="003A0D34" w:rsidRDefault="00A724BF" w:rsidP="00A724BF">
      <w:pPr>
        <w:autoSpaceDE w:val="0"/>
        <w:autoSpaceDN w:val="0"/>
        <w:adjustRightInd w:val="0"/>
        <w:spacing w:after="0" w:line="240" w:lineRule="auto"/>
        <w:rPr>
          <w:rFonts w:ascii="Verdana" w:hAnsi="Verdana" w:cs="Frutiger-BlackCn"/>
          <w:b/>
          <w:bCs/>
        </w:rPr>
      </w:pPr>
      <w:r w:rsidRPr="003A0D34">
        <w:rPr>
          <w:rFonts w:ascii="Verdana" w:hAnsi="Verdana" w:cs="Frutiger-BlackCn"/>
          <w:b/>
          <w:bCs/>
        </w:rPr>
        <w:t>ATA DA 33ª REUNIÃO EXTRAORDINÁRIA DO</w:t>
      </w:r>
    </w:p>
    <w:p w:rsidR="00A724BF" w:rsidRPr="003A0D34" w:rsidRDefault="00A724BF" w:rsidP="00A724BF">
      <w:pPr>
        <w:autoSpaceDE w:val="0"/>
        <w:autoSpaceDN w:val="0"/>
        <w:adjustRightInd w:val="0"/>
        <w:spacing w:after="0" w:line="240" w:lineRule="auto"/>
        <w:rPr>
          <w:rFonts w:ascii="Verdana" w:hAnsi="Verdana" w:cs="Frutiger-BlackCn"/>
          <w:b/>
          <w:bCs/>
        </w:rPr>
      </w:pPr>
      <w:r w:rsidRPr="003A0D34">
        <w:rPr>
          <w:rFonts w:ascii="Verdana" w:hAnsi="Verdana" w:cs="Frutiger-BlackCn"/>
          <w:b/>
          <w:bCs/>
        </w:rPr>
        <w:t>CONSELHO MUNICIPAL DE ADMINISTRAÇÃO</w:t>
      </w:r>
    </w:p>
    <w:p w:rsidR="00A724BF" w:rsidRPr="003A0D34" w:rsidRDefault="00A724BF" w:rsidP="00A724BF">
      <w:pPr>
        <w:autoSpaceDE w:val="0"/>
        <w:autoSpaceDN w:val="0"/>
        <w:adjustRightInd w:val="0"/>
        <w:spacing w:after="0" w:line="240" w:lineRule="auto"/>
        <w:rPr>
          <w:rFonts w:ascii="Verdana" w:hAnsi="Verdana" w:cs="Frutiger-BlackCn"/>
          <w:b/>
          <w:bCs/>
        </w:rPr>
      </w:pPr>
      <w:r w:rsidRPr="003A0D34">
        <w:rPr>
          <w:rFonts w:ascii="Verdana" w:hAnsi="Verdana" w:cs="Frutiger-BlackCn"/>
          <w:b/>
          <w:bCs/>
        </w:rPr>
        <w:t>PÚBLICA – COMAP REALIZADA EM 31 DE JULHO</w:t>
      </w:r>
    </w:p>
    <w:p w:rsidR="00A724BF" w:rsidRPr="003A0D34" w:rsidRDefault="00A724BF" w:rsidP="00A724BF">
      <w:pPr>
        <w:autoSpaceDE w:val="0"/>
        <w:autoSpaceDN w:val="0"/>
        <w:adjustRightInd w:val="0"/>
        <w:spacing w:after="0" w:line="240" w:lineRule="auto"/>
        <w:rPr>
          <w:rFonts w:ascii="Verdana" w:hAnsi="Verdana" w:cs="Frutiger-BlackCn"/>
          <w:b/>
          <w:bCs/>
        </w:rPr>
      </w:pPr>
      <w:r w:rsidRPr="003A0D34">
        <w:rPr>
          <w:rFonts w:ascii="Verdana" w:hAnsi="Verdana" w:cs="Frutiger-BlackCn"/>
          <w:b/>
          <w:bCs/>
        </w:rPr>
        <w:t>DE 2017.</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Aos 31 dias de julho de 2017, às 14h30 horas, sob a presidência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da Senhora Tarcila Peres Santos, SGM, realizou-se 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33ª reunião Plenária Extraordinária do Conselho Municipal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Administração Pública – COMAP, na sala de reuniões – quinto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andar, da Secretaria do Governo Municipal, estando presentes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os seguintes membros: Giulia da Cunha Fernandes Puttomatti,</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SMF, Ivan Teixeira da Costa Budinski, de SERG, Vladimir de Souza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Alves, de SMJ e Fábio Teizo, de SMG.</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O Conselho foi instituído pelo Decreto nº. 50.514/2009 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posteriores alterações e os membros nomeados por meio da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seguinte portaria: Portaria 18, de 06 de janeiro de 2017.</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Dado início a primeira reunião extraordinária, segue abaixo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resumo das deliberações: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1. Foram apreciadas as propostas de nomeações/designações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formalizadas pelas diversas Secretarias e obtiveram manifestação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favorável ao prosseguimento, uma vez examinadas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as declarações apresentadas em atendimento ao Decreto n°</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50.898/2009, com vistas a evitar situações que possam contrariar</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o disposto da Súmula 13 do Supremo Tribunal Federal, bem</w:t>
      </w:r>
    </w:p>
    <w:p w:rsidR="00A724BF" w:rsidRPr="003A0D34" w:rsidRDefault="00A724BF" w:rsidP="00A724BF">
      <w:pPr>
        <w:rPr>
          <w:rFonts w:ascii="Verdana" w:hAnsi="Verdana" w:cs="Frutiger-Cn"/>
        </w:rPr>
      </w:pPr>
      <w:r w:rsidRPr="003A0D34">
        <w:rPr>
          <w:rFonts w:ascii="Verdana" w:hAnsi="Verdana" w:cs="Frutiger-Cn"/>
        </w:rPr>
        <w:t>como, ao Decreto nº 53.177/2012:</w:t>
      </w:r>
    </w:p>
    <w:p w:rsidR="00A724BF" w:rsidRPr="003A0D34" w:rsidRDefault="00A724BF" w:rsidP="00A724BF">
      <w:pPr>
        <w:rPr>
          <w:rFonts w:ascii="Verdana" w:hAnsi="Verdana"/>
        </w:rPr>
      </w:pPr>
      <w:r w:rsidRPr="003A0D34">
        <w:rPr>
          <w:rFonts w:ascii="Verdana" w:hAnsi="Verdana"/>
          <w:noProof/>
          <w:lang w:eastAsia="pt-BR"/>
        </w:rPr>
        <w:drawing>
          <wp:inline distT="0" distB="0" distL="0" distR="0" wp14:anchorId="06B768EA" wp14:editId="45408FB5">
            <wp:extent cx="2766950" cy="249239"/>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67158" cy="249258"/>
                    </a:xfrm>
                    <a:prstGeom prst="rect">
                      <a:avLst/>
                    </a:prstGeom>
                    <a:noFill/>
                    <a:ln>
                      <a:noFill/>
                    </a:ln>
                  </pic:spPr>
                </pic:pic>
              </a:graphicData>
            </a:graphic>
          </wp:inline>
        </w:drawing>
      </w:r>
    </w:p>
    <w:p w:rsidR="00A724BF" w:rsidRPr="003A0D34" w:rsidRDefault="00A724BF" w:rsidP="00A724BF">
      <w:pPr>
        <w:rPr>
          <w:rFonts w:ascii="Verdana" w:hAnsi="Verdana"/>
        </w:rPr>
      </w:pPr>
      <w:r w:rsidRPr="003A0D34">
        <w:rPr>
          <w:rFonts w:ascii="Verdana" w:hAnsi="Verdana"/>
          <w:noProof/>
          <w:lang w:eastAsia="pt-BR"/>
        </w:rPr>
        <w:drawing>
          <wp:inline distT="0" distB="0" distL="0" distR="0" wp14:anchorId="463652BE" wp14:editId="2D1110CD">
            <wp:extent cx="3681350" cy="2271097"/>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81413" cy="2271136"/>
                    </a:xfrm>
                    <a:prstGeom prst="rect">
                      <a:avLst/>
                    </a:prstGeom>
                    <a:noFill/>
                    <a:ln>
                      <a:noFill/>
                    </a:ln>
                  </pic:spPr>
                </pic:pic>
              </a:graphicData>
            </a:graphic>
          </wp:inline>
        </w:drawing>
      </w:r>
    </w:p>
    <w:p w:rsidR="00A724BF" w:rsidRPr="003A0D34" w:rsidRDefault="00A724BF" w:rsidP="00A724BF">
      <w:pPr>
        <w:autoSpaceDE w:val="0"/>
        <w:autoSpaceDN w:val="0"/>
        <w:adjustRightInd w:val="0"/>
        <w:spacing w:after="0" w:line="240" w:lineRule="auto"/>
        <w:rPr>
          <w:rFonts w:ascii="Verdana" w:hAnsi="Verdana" w:cs="Frutiger-BlackCn"/>
          <w:b/>
          <w:bCs/>
        </w:rPr>
      </w:pPr>
      <w:r w:rsidRPr="003A0D34">
        <w:rPr>
          <w:rFonts w:ascii="Verdana" w:hAnsi="Verdana" w:cs="Frutiger-BlackCn"/>
          <w:b/>
          <w:bCs/>
        </w:rPr>
        <w:t>TRABALHO E</w:t>
      </w:r>
      <w:r w:rsidR="0062437C">
        <w:rPr>
          <w:rFonts w:ascii="Verdana" w:hAnsi="Verdana" w:cs="Frutiger-BlackCn"/>
          <w:b/>
          <w:bCs/>
        </w:rPr>
        <w:t xml:space="preserve"> </w:t>
      </w:r>
      <w:r w:rsidRPr="003A0D34">
        <w:rPr>
          <w:rFonts w:ascii="Verdana" w:hAnsi="Verdana" w:cs="Frutiger-BlackCn"/>
          <w:b/>
          <w:bCs/>
        </w:rPr>
        <w:t>EMPREENDEDORISMO</w:t>
      </w: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BoldCn"/>
          <w:b/>
          <w:bCs/>
        </w:rPr>
        <w:t>GABINETE DA SECRETÁRIA</w:t>
      </w:r>
    </w:p>
    <w:p w:rsidR="0062437C" w:rsidRDefault="0062437C" w:rsidP="00A724BF">
      <w:pPr>
        <w:autoSpaceDE w:val="0"/>
        <w:autoSpaceDN w:val="0"/>
        <w:adjustRightInd w:val="0"/>
        <w:spacing w:after="0" w:line="240" w:lineRule="auto"/>
        <w:rPr>
          <w:rFonts w:ascii="Verdana" w:hAnsi="Verdana" w:cs="Frutiger-Cn"/>
        </w:rPr>
      </w:pPr>
    </w:p>
    <w:p w:rsidR="00A724BF" w:rsidRPr="0062437C" w:rsidRDefault="00A724BF" w:rsidP="00A724BF">
      <w:pPr>
        <w:autoSpaceDE w:val="0"/>
        <w:autoSpaceDN w:val="0"/>
        <w:adjustRightInd w:val="0"/>
        <w:spacing w:after="0" w:line="240" w:lineRule="auto"/>
        <w:rPr>
          <w:rFonts w:ascii="Verdana" w:hAnsi="Verdana" w:cs="Frutiger-Cn"/>
          <w:b/>
        </w:rPr>
      </w:pPr>
      <w:r w:rsidRPr="0062437C">
        <w:rPr>
          <w:rFonts w:ascii="Verdana" w:hAnsi="Verdana" w:cs="Frutiger-Cn"/>
          <w:b/>
        </w:rPr>
        <w:t>COORDENADORIA DE SEGURANÇA ALIMENTAR</w:t>
      </w:r>
      <w:r w:rsidR="0062437C" w:rsidRPr="0062437C">
        <w:rPr>
          <w:rFonts w:ascii="Verdana" w:hAnsi="Verdana" w:cs="Frutiger-Cn"/>
          <w:b/>
        </w:rPr>
        <w:t xml:space="preserve"> </w:t>
      </w:r>
      <w:r w:rsidRPr="0062437C">
        <w:rPr>
          <w:rFonts w:ascii="Verdana" w:hAnsi="Verdana" w:cs="Frutiger-Cn"/>
          <w:b/>
        </w:rPr>
        <w:t>E NUTRICIONAL</w:t>
      </w:r>
    </w:p>
    <w:p w:rsidR="00A724BF" w:rsidRPr="003A0D34" w:rsidRDefault="00A724BF" w:rsidP="00A724BF">
      <w:pPr>
        <w:autoSpaceDE w:val="0"/>
        <w:autoSpaceDN w:val="0"/>
        <w:adjustRightInd w:val="0"/>
        <w:spacing w:after="0" w:line="240" w:lineRule="auto"/>
        <w:rPr>
          <w:rFonts w:ascii="Verdana" w:hAnsi="Verdana" w:cs="Frutiger-BlackCn"/>
          <w:b/>
          <w:bCs/>
        </w:rPr>
      </w:pPr>
      <w:r w:rsidRPr="003A0D34">
        <w:rPr>
          <w:rFonts w:ascii="Verdana" w:hAnsi="Verdana" w:cs="Frutiger-BlackCn"/>
          <w:b/>
          <w:bCs/>
        </w:rPr>
        <w:t>REFORMA DE BOX–</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Box Casa, no MERCADO MUNICIPAL DE SÃO MIGUEL –</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Associação dos Permissionários do Mercado Distrital de São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Miguel Paulista - ACOMESPA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2017-0.102.222-9 – À vista das informações contidas no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presente , autorizo o início das obras , observando e executando</w:t>
      </w:r>
    </w:p>
    <w:p w:rsidR="00A724BF" w:rsidRPr="003A0D34" w:rsidRDefault="00A724BF" w:rsidP="00A724BF">
      <w:pPr>
        <w:rPr>
          <w:rFonts w:ascii="Verdana" w:hAnsi="Verdana" w:cs="Frutiger-Cn"/>
        </w:rPr>
      </w:pPr>
      <w:r w:rsidRPr="003A0D34">
        <w:rPr>
          <w:rFonts w:ascii="Verdana" w:hAnsi="Verdana" w:cs="Frutiger-Cn"/>
        </w:rPr>
        <w:t>todos os itens do disposto em fls. n° 18 A 27.</w:t>
      </w:r>
    </w:p>
    <w:p w:rsidR="00A724BF" w:rsidRPr="0062437C" w:rsidRDefault="00A724BF" w:rsidP="0062437C">
      <w:pPr>
        <w:jc w:val="center"/>
        <w:rPr>
          <w:rFonts w:ascii="Verdana" w:hAnsi="Verdana" w:cs="Frutiger-Cn"/>
          <w:b/>
          <w:sz w:val="24"/>
        </w:rPr>
      </w:pPr>
      <w:r w:rsidRPr="0062437C">
        <w:rPr>
          <w:rFonts w:ascii="Verdana" w:hAnsi="Verdana" w:cs="Frutiger-Cn"/>
          <w:b/>
          <w:sz w:val="24"/>
        </w:rPr>
        <w:t>Licitações, pág. 102</w:t>
      </w:r>
    </w:p>
    <w:p w:rsidR="00A724BF" w:rsidRPr="003A0D34" w:rsidRDefault="00A724BF" w:rsidP="00A724BF">
      <w:pPr>
        <w:autoSpaceDE w:val="0"/>
        <w:autoSpaceDN w:val="0"/>
        <w:adjustRightInd w:val="0"/>
        <w:spacing w:after="0" w:line="240" w:lineRule="auto"/>
        <w:rPr>
          <w:rFonts w:ascii="Verdana" w:hAnsi="Verdana" w:cs="Frutiger-BlackCn"/>
          <w:b/>
          <w:bCs/>
        </w:rPr>
      </w:pPr>
      <w:r w:rsidRPr="003A0D34">
        <w:rPr>
          <w:rFonts w:ascii="Verdana" w:hAnsi="Verdana" w:cs="Frutiger-BlackCn"/>
          <w:b/>
          <w:bCs/>
        </w:rPr>
        <w:t>TRABALHO E</w:t>
      </w:r>
      <w:r w:rsidR="0062437C">
        <w:rPr>
          <w:rFonts w:ascii="Verdana" w:hAnsi="Verdana" w:cs="Frutiger-BlackCn"/>
          <w:b/>
          <w:bCs/>
        </w:rPr>
        <w:t xml:space="preserve"> </w:t>
      </w:r>
      <w:r w:rsidRPr="003A0D34">
        <w:rPr>
          <w:rFonts w:ascii="Verdana" w:hAnsi="Verdana" w:cs="Frutiger-BlackCn"/>
          <w:b/>
          <w:bCs/>
        </w:rPr>
        <w:t>EMPREENDEDORISMO</w:t>
      </w: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BoldCn"/>
          <w:b/>
          <w:bCs/>
        </w:rPr>
        <w:t>FUNDAÇÃO PAULISTANA DE EDUCAÇÃO</w:t>
      </w:r>
      <w:r w:rsidR="0062437C">
        <w:rPr>
          <w:rFonts w:ascii="Verdana" w:hAnsi="Verdana" w:cs="Frutiger-BoldCn"/>
          <w:b/>
          <w:bCs/>
        </w:rPr>
        <w:t xml:space="preserve"> </w:t>
      </w:r>
      <w:r w:rsidRPr="003A0D34">
        <w:rPr>
          <w:rFonts w:ascii="Verdana" w:hAnsi="Verdana" w:cs="Frutiger-BoldCn"/>
          <w:b/>
          <w:bCs/>
        </w:rPr>
        <w:t>E TECNOLOGIA</w:t>
      </w:r>
    </w:p>
    <w:p w:rsidR="0062437C" w:rsidRDefault="0062437C" w:rsidP="00A724BF">
      <w:pPr>
        <w:autoSpaceDE w:val="0"/>
        <w:autoSpaceDN w:val="0"/>
        <w:adjustRightInd w:val="0"/>
        <w:spacing w:after="0" w:line="240" w:lineRule="auto"/>
        <w:rPr>
          <w:rFonts w:ascii="Verdana" w:hAnsi="Verdana" w:cs="Frutiger-BlackCn"/>
          <w:b/>
          <w:bCs/>
        </w:rPr>
      </w:pPr>
    </w:p>
    <w:p w:rsidR="00A724BF" w:rsidRPr="003A0D34" w:rsidRDefault="00A724BF" w:rsidP="00A724BF">
      <w:pPr>
        <w:autoSpaceDE w:val="0"/>
        <w:autoSpaceDN w:val="0"/>
        <w:adjustRightInd w:val="0"/>
        <w:spacing w:after="0" w:line="240" w:lineRule="auto"/>
        <w:rPr>
          <w:rFonts w:ascii="Verdana" w:hAnsi="Verdana" w:cs="Frutiger-BlackCn"/>
          <w:b/>
          <w:bCs/>
        </w:rPr>
      </w:pPr>
      <w:r w:rsidRPr="003A0D34">
        <w:rPr>
          <w:rFonts w:ascii="Verdana" w:hAnsi="Verdana" w:cs="Frutiger-BlackCn"/>
          <w:b/>
          <w:bCs/>
        </w:rPr>
        <w:t>AVISO DE LICITAÇÃO</w:t>
      </w: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BoldCn"/>
          <w:b/>
          <w:bCs/>
        </w:rPr>
        <w:t>PREGÃO ELETRÔNICO N.º 18/FUNDAÇÃO PAULISTANA/2017</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Processo nº 8110.2017/0000179-5. A FUNDAÇÃO PAULISTANA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 EDUCAÇÃO TECNOLOGIA E CULTURA, torna público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para conhecimento de quantos possam se interessar, que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procederá licitação na modalidade PREGÃO, a ser realizada por</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intermédio do sistema eletrônico de contratações denominado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“Bolsa Eletrônica de Compras do Governo do Estado de São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Paulo – Sistema BEC/SP”, com utilização de recursos de tecnologia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da informação, denominada PREGÃO ELETRÔNICO, do</w:t>
      </w:r>
    </w:p>
    <w:p w:rsidR="00A724BF" w:rsidRPr="003A0D34" w:rsidRDefault="00A724BF" w:rsidP="00A724BF">
      <w:pPr>
        <w:spacing w:after="0"/>
        <w:rPr>
          <w:rFonts w:ascii="Verdana" w:hAnsi="Verdana" w:cs="Frutiger-Cn"/>
        </w:rPr>
      </w:pPr>
      <w:r w:rsidRPr="003A0D34">
        <w:rPr>
          <w:rFonts w:ascii="Verdana" w:hAnsi="Verdana" w:cs="Frutiger-Cn"/>
        </w:rPr>
        <w:t>tipo MENOR PREÇO TOTAL POR LOTE, objetivando a Aquisição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 material para uso nas aulas práticas de saúde bucal, para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atender as necessidades da Esscola Técnica de Saúde Pública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Prof. Makiguti. , conforme as especificações constantes no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Termo de Referência como Anexo I, com as especificações constantes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do memorial descritivo, que integra o presente Edital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Licitação, como Anexo I.</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O início do prazo de envio de propostas eletrônicas será</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dia 03 agosto de 2017 e a abertura da sessão pública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processamento do certame ocorrerá no dia 15 de agosto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2017 às 10:30 horas. O Caderno de Licitação composto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Edital e Anexos poderá ser retirado, mediante a entrega de um</w:t>
      </w:r>
    </w:p>
    <w:p w:rsidR="00A724BF" w:rsidRPr="003A0D34" w:rsidRDefault="00A724BF" w:rsidP="00A724BF">
      <w:pPr>
        <w:spacing w:after="0"/>
        <w:rPr>
          <w:rFonts w:ascii="Verdana" w:hAnsi="Verdana" w:cs="Frutiger-Cn"/>
        </w:rPr>
      </w:pPr>
      <w:r w:rsidRPr="003A0D34">
        <w:rPr>
          <w:rFonts w:ascii="Verdana" w:hAnsi="Verdana" w:cs="Frutiger-Cn"/>
        </w:rPr>
        <w:t>CD-R na seção de Compras e Licitações à Avenida São João,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473 – 6º andar, Centro - São Paulo - SP, CEP 01035-000,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segunda à sexta-feira, no horário das 10:00 às 16:00 horas,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até o último dia útil que anteceder a data designada para 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abertura do certame ou poderá ser obtido via internet, gratuitamente,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nos endereços eletrônicos da Prefeitura do Município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 São Paulo: http://e-negocioscidadesp.prefeitura.sp.gov.br</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ou www.bec. sp.gov.br. Maiores esclarecimentos poderão ser</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obtidos pelos interessados através dos telefones 3106-1258.</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801085801002017OC00018</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BRUNO RUIZ SEGANTINI</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Chefe da Assessoria Técnico-Jurídica</w:t>
      </w:r>
    </w:p>
    <w:p w:rsidR="00A724BF" w:rsidRPr="003A0D34" w:rsidRDefault="00A724BF" w:rsidP="00A724BF">
      <w:pPr>
        <w:rPr>
          <w:rFonts w:ascii="Verdana" w:hAnsi="Verdana" w:cs="Frutiger-Cn"/>
        </w:rPr>
      </w:pPr>
      <w:r w:rsidRPr="003A0D34">
        <w:rPr>
          <w:rFonts w:ascii="Verdana" w:hAnsi="Verdana" w:cs="Frutiger-Cn"/>
        </w:rPr>
        <w:t>Presidente da Comissão Permanente de Licitações</w:t>
      </w: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BoldCn"/>
          <w:b/>
          <w:bCs/>
        </w:rPr>
        <w:t>ATA DE REALIZAÇÃO DO PREGÃO ELETRÔNICO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Pregão Eletrônico nº :17/FundaçãoPaulistana/2017</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Processo nº :8110.2017/0000079-9</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Objeto :Aquisição de Aparelhos para Laboratório Diversos, conforme descrito no Anexo I deste Edital.</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Às 10:33:12 horas do dia 31 de Julho de 2017, reuniram-se o Pregoeiro deste órgão/entidade Bruno Ruiz Segantini 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respectivo(s) membro(s) da equipe de apoio: Celso Varella, Giulia Manccini Pinheiro, Luciana Kulik Camargo, Luiz Guilherme Bender</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e Vanda Kiragossian, para realizar os procedimentos relativos ao Pregão Eletrônico em epígrafe, relativo à oferta de compra - OC:</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801085801002017OC00017. Inicialmente o Pregoeiro abriu a sessão pública em atendimento às disposições contidas no edital,</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divulgando as propostas recebidas e abrindo a fase de lances.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Resultado da Sessão Pública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Encerrada sem recurso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ITEM 1</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Numero do Item: 1</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Descrição: BALANCA, TIPO ELETRONICA ANALITICA DE ALTA RESOLUCAO, VISOR DISPLAY DE VACUO FLUORESCENTE, 128 X</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64 PONTOS, COM CARACTERES DE ATE 21MM, COM CAPACIDADE PARA ATE 60 KG X 1 G, CARGA MINIMA DE 50 GRAMAS 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LEITURA DE 0.001 KG, MEDINDO 800 X 600 X 94 MM (TOLERANCIA DE ±5%), ALIMENTACAO ELETRICA AUTOMATICA 110/220</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VOLTS, PARA UTILIZACAO EM PESAGEM DE MATERIA PRIMA PARA INDUSTRIA FARMACEUTICA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Unidade de Fornecimento: UNIDADE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Quantidade: 1</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Menor Valor: 9.700,0000</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CNPJ Vencedor: 19142596000192</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Vencedor: VITALABE EQUIPAMENTOS LABORATORIAIS LTDA - me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Propostas Entregues: 4</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Desistência de Propostas: 0</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Propostas Restantes: 4</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Propostas Classificadas: 4</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Resultado do Item: Adjudicado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Justificativa: CONSIDERANDO O ATENDIMENTO INTEGRAL AO EDITAL E AO PREÇO DE REFERÊNCIA, ITEM ADJUDICADO</w:t>
      </w:r>
    </w:p>
    <w:p w:rsidR="00A724BF" w:rsidRPr="003A0D34" w:rsidRDefault="00A724BF" w:rsidP="00A724BF">
      <w:pPr>
        <w:rPr>
          <w:rFonts w:ascii="Verdana" w:hAnsi="Verdana" w:cs="Frutiger-Cn"/>
        </w:rPr>
      </w:pPr>
      <w:r w:rsidRPr="003A0D34">
        <w:rPr>
          <w:rFonts w:ascii="Verdana" w:hAnsi="Verdana" w:cs="Frutiger-Cn"/>
        </w:rPr>
        <w:t>Propostas</w:t>
      </w:r>
    </w:p>
    <w:p w:rsidR="00A724BF" w:rsidRPr="003A0D34" w:rsidRDefault="00A724BF" w:rsidP="00A724BF">
      <w:pPr>
        <w:rPr>
          <w:rFonts w:ascii="Verdana" w:hAnsi="Verdana"/>
        </w:rPr>
      </w:pPr>
      <w:r w:rsidRPr="003A0D34">
        <w:rPr>
          <w:rFonts w:ascii="Verdana" w:hAnsi="Verdana"/>
          <w:noProof/>
          <w:lang w:eastAsia="pt-BR"/>
        </w:rPr>
        <w:drawing>
          <wp:inline distT="0" distB="0" distL="0" distR="0" wp14:anchorId="4A0D3BA7" wp14:editId="78B65C64">
            <wp:extent cx="6092041" cy="2878846"/>
            <wp:effectExtent l="0" t="0" r="444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8796" cy="2877313"/>
                    </a:xfrm>
                    <a:prstGeom prst="rect">
                      <a:avLst/>
                    </a:prstGeom>
                    <a:noFill/>
                    <a:ln>
                      <a:noFill/>
                    </a:ln>
                  </pic:spPr>
                </pic:pic>
              </a:graphicData>
            </a:graphic>
          </wp:inline>
        </w:drawing>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Preferência de contratação para as microempresas e empresas de pequeno porte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Não houve licitante que se encontrasse na condição de empate prevista na Lei Complementar nº 123, de 14 de dezembro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2006.</w:t>
      </w:r>
    </w:p>
    <w:p w:rsidR="00A724BF" w:rsidRPr="003A0D34" w:rsidRDefault="00A724BF" w:rsidP="00A724BF">
      <w:pPr>
        <w:rPr>
          <w:rFonts w:ascii="Verdana" w:hAnsi="Verdana" w:cs="Frutiger-Cn"/>
        </w:rPr>
      </w:pPr>
      <w:r w:rsidRPr="003A0D34">
        <w:rPr>
          <w:rFonts w:ascii="Verdana" w:hAnsi="Verdana" w:cs="Frutiger-Cn"/>
        </w:rPr>
        <w:t>Negociação</w:t>
      </w:r>
    </w:p>
    <w:p w:rsidR="00A724BF" w:rsidRPr="003A0D34" w:rsidRDefault="00A724BF" w:rsidP="00A724BF">
      <w:pPr>
        <w:rPr>
          <w:rFonts w:ascii="Verdana" w:hAnsi="Verdana"/>
        </w:rPr>
      </w:pPr>
      <w:r w:rsidRPr="003A0D34">
        <w:rPr>
          <w:rFonts w:ascii="Verdana" w:hAnsi="Verdana"/>
          <w:noProof/>
          <w:lang w:eastAsia="pt-BR"/>
        </w:rPr>
        <w:drawing>
          <wp:inline distT="0" distB="0" distL="0" distR="0" wp14:anchorId="10DBEA24" wp14:editId="5FB228B7">
            <wp:extent cx="6163293" cy="1449377"/>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17656" cy="1462161"/>
                    </a:xfrm>
                    <a:prstGeom prst="rect">
                      <a:avLst/>
                    </a:prstGeom>
                    <a:noFill/>
                    <a:ln>
                      <a:noFill/>
                    </a:ln>
                  </pic:spPr>
                </pic:pic>
              </a:graphicData>
            </a:graphic>
          </wp:inline>
        </w:drawing>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ITEM 2</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Numero do Item: 2</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Descrição: MEDIDOR DE PH, , DE BOLSO, FAIXA DE MEDICAO DE PH DE 0 A 14 OU MAIS AMPLA, FAIXA DE MEDICAO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TEMPERATURA DE DE 0 A 60 °C OU MAIS AMPLA, RESOLUCAO 0,01, CALIBRACAO SEM NECESSIDADE DE CALIBRACA RBC, COM</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POSSIBILIDADE DE CALIBRACAO DO USUARIO EM ATE3 FAIXAS DE PH: 4,00, 7,00, 10,00, ALIMENTACAO ELETRICA POR PILHAS OU</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BATERIAS, COM MANUAL DE OPERACAO EM PORTUGUES BRASILEIRO, ASSISTENCIA TECNICA PERMANENTE NO BRASIL, GARANTIA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MINIMA DE 12 MESES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Unidade de Fornecimento: UNIDADE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Quantidade: 1</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Menor Valor: 5.100,0000</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CNPJ Vencedor: 26715609000130</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Vencedor: Atomolab Comercial EIRELI-ME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Propostas Entregues: 4</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Desistência de Propostas: 0</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Propostas Restantes: 4</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Propostas Classificadas: 3</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Resultado do Item: Adjudicado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Justificativa: CONSIDERANDO O ATENDIMENTO INTEGRAL AO EDITAL E AO PREÇO DE REFERÊNCIA, ITEM ADJUDICADO</w:t>
      </w:r>
    </w:p>
    <w:p w:rsidR="00A724BF" w:rsidRPr="003A0D34" w:rsidRDefault="00A724BF" w:rsidP="00A724BF">
      <w:pPr>
        <w:rPr>
          <w:rFonts w:ascii="Verdana" w:hAnsi="Verdana" w:cs="Frutiger-Cn"/>
        </w:rPr>
      </w:pPr>
      <w:r w:rsidRPr="003A0D34">
        <w:rPr>
          <w:rFonts w:ascii="Verdana" w:hAnsi="Verdana" w:cs="Frutiger-Cn"/>
        </w:rPr>
        <w:t>Propostas</w:t>
      </w:r>
    </w:p>
    <w:p w:rsidR="00A724BF" w:rsidRPr="003A0D34" w:rsidRDefault="00A724BF" w:rsidP="00A724BF">
      <w:pPr>
        <w:rPr>
          <w:rFonts w:ascii="Verdana" w:hAnsi="Verdana"/>
        </w:rPr>
      </w:pPr>
      <w:r w:rsidRPr="003A0D34">
        <w:rPr>
          <w:rFonts w:ascii="Verdana" w:hAnsi="Verdana"/>
          <w:noProof/>
          <w:lang w:eastAsia="pt-BR"/>
        </w:rPr>
        <w:drawing>
          <wp:inline distT="0" distB="0" distL="0" distR="0" wp14:anchorId="258049D0" wp14:editId="459C687A">
            <wp:extent cx="6127667" cy="1010355"/>
            <wp:effectExtent l="0" t="0" r="6985"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5816" cy="1010050"/>
                    </a:xfrm>
                    <a:prstGeom prst="rect">
                      <a:avLst/>
                    </a:prstGeom>
                    <a:noFill/>
                    <a:ln>
                      <a:noFill/>
                    </a:ln>
                  </pic:spPr>
                </pic:pic>
              </a:graphicData>
            </a:graphic>
          </wp:inline>
        </w:drawing>
      </w:r>
    </w:p>
    <w:p w:rsidR="00A724BF" w:rsidRPr="003A0D34" w:rsidRDefault="00A724BF" w:rsidP="00A724BF">
      <w:pPr>
        <w:rPr>
          <w:rFonts w:ascii="Verdana" w:hAnsi="Verdana"/>
        </w:rPr>
      </w:pPr>
      <w:r w:rsidRPr="003A0D34">
        <w:rPr>
          <w:rFonts w:ascii="Verdana" w:hAnsi="Verdana"/>
          <w:noProof/>
          <w:lang w:eastAsia="pt-BR"/>
        </w:rPr>
        <w:drawing>
          <wp:inline distT="0" distB="0" distL="0" distR="0" wp14:anchorId="1478F557" wp14:editId="7F68C56C">
            <wp:extent cx="6127667" cy="2435327"/>
            <wp:effectExtent l="0" t="0" r="6985" b="317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52283" cy="2445110"/>
                    </a:xfrm>
                    <a:prstGeom prst="rect">
                      <a:avLst/>
                    </a:prstGeom>
                    <a:noFill/>
                    <a:ln>
                      <a:noFill/>
                    </a:ln>
                  </pic:spPr>
                </pic:pic>
              </a:graphicData>
            </a:graphic>
          </wp:inline>
        </w:drawing>
      </w:r>
    </w:p>
    <w:p w:rsidR="00A724BF" w:rsidRPr="003A0D34" w:rsidRDefault="00A724BF" w:rsidP="00A724BF">
      <w:pPr>
        <w:rPr>
          <w:rFonts w:ascii="Verdana" w:hAnsi="Verdana"/>
        </w:rPr>
      </w:pPr>
      <w:r w:rsidRPr="003A0D34">
        <w:rPr>
          <w:rFonts w:ascii="Verdana" w:hAnsi="Verdana"/>
          <w:noProof/>
          <w:lang w:eastAsia="pt-BR"/>
        </w:rPr>
        <w:drawing>
          <wp:inline distT="0" distB="0" distL="0" distR="0" wp14:anchorId="123F0DF6" wp14:editId="180742E1">
            <wp:extent cx="6187035" cy="2161309"/>
            <wp:effectExtent l="0" t="0" r="4445"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83334" cy="2160016"/>
                    </a:xfrm>
                    <a:prstGeom prst="rect">
                      <a:avLst/>
                    </a:prstGeom>
                    <a:noFill/>
                    <a:ln>
                      <a:noFill/>
                    </a:ln>
                  </pic:spPr>
                </pic:pic>
              </a:graphicData>
            </a:graphic>
          </wp:inline>
        </w:drawing>
      </w:r>
    </w:p>
    <w:p w:rsidR="00A724BF" w:rsidRPr="003A0D34" w:rsidRDefault="00A724BF" w:rsidP="00A724BF">
      <w:pPr>
        <w:rPr>
          <w:rFonts w:ascii="Verdana" w:hAnsi="Verdana"/>
        </w:rPr>
      </w:pPr>
      <w:r w:rsidRPr="003A0D34">
        <w:rPr>
          <w:rFonts w:ascii="Verdana" w:hAnsi="Verdana"/>
          <w:noProof/>
          <w:lang w:eastAsia="pt-BR"/>
        </w:rPr>
        <w:drawing>
          <wp:inline distT="0" distB="0" distL="0" distR="0" wp14:anchorId="4A5149F6" wp14:editId="2B8F42BA">
            <wp:extent cx="4928259" cy="594192"/>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29117" cy="594295"/>
                    </a:xfrm>
                    <a:prstGeom prst="rect">
                      <a:avLst/>
                    </a:prstGeom>
                    <a:noFill/>
                    <a:ln>
                      <a:noFill/>
                    </a:ln>
                  </pic:spPr>
                </pic:pic>
              </a:graphicData>
            </a:graphic>
          </wp:inline>
        </w:drawing>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Preferência de contratação para as microempresas e empresas de pequeno porte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Não houve licitante que se encontrasse na condição de empate prevista na Lei Complementar nº 123, de 14 de dezembro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2006.</w:t>
      </w:r>
    </w:p>
    <w:p w:rsidR="00A724BF" w:rsidRPr="003A0D34" w:rsidRDefault="00A724BF" w:rsidP="00A724BF">
      <w:pPr>
        <w:rPr>
          <w:rFonts w:ascii="Verdana" w:hAnsi="Verdana" w:cs="Frutiger-Cn"/>
        </w:rPr>
      </w:pPr>
      <w:r w:rsidRPr="003A0D34">
        <w:rPr>
          <w:rFonts w:ascii="Verdana" w:hAnsi="Verdana" w:cs="Frutiger-Cn"/>
        </w:rPr>
        <w:t>Negociação</w:t>
      </w:r>
    </w:p>
    <w:p w:rsidR="00A724BF" w:rsidRPr="003A0D34" w:rsidRDefault="00A724BF" w:rsidP="00A724BF">
      <w:pPr>
        <w:rPr>
          <w:rFonts w:ascii="Verdana" w:hAnsi="Verdana"/>
        </w:rPr>
      </w:pPr>
      <w:r w:rsidRPr="003A0D34">
        <w:rPr>
          <w:rFonts w:ascii="Verdana" w:hAnsi="Verdana"/>
          <w:noProof/>
          <w:lang w:eastAsia="pt-BR"/>
        </w:rPr>
        <w:drawing>
          <wp:inline distT="0" distB="0" distL="0" distR="0" wp14:anchorId="3987AFEB" wp14:editId="25748B1C">
            <wp:extent cx="6151418" cy="1496370"/>
            <wp:effectExtent l="0" t="0" r="1905" b="889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51285" cy="1496338"/>
                    </a:xfrm>
                    <a:prstGeom prst="rect">
                      <a:avLst/>
                    </a:prstGeom>
                    <a:noFill/>
                    <a:ln>
                      <a:noFill/>
                    </a:ln>
                  </pic:spPr>
                </pic:pic>
              </a:graphicData>
            </a:graphic>
          </wp:inline>
        </w:drawing>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ITEM 3</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Numero do Item: 3</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Descrição: TERMOMETRO DIGITAL, COM LIMITE OPERACIONAL DE -50 A 300°C, NA FAIXA DE TEMPERATURA DE -50 A 300°C;</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PRECISAO: +/-1°C; RESOLUCAO: 0,1°C, USADO EM --; RESISTENTE A AGUA, NA VOLTAGEM DE ALIMENTACAO POR BATERIA, TIPO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ESPETO, HASTE DE INOX DE 115MM A 150MM, COM PROTETOR DE HASTE, UTILIZADO PARA MONITORAMENTO DE PROCESSOS;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COM MANUAL EM PORTUGUES; GARANTIA MINIMA DE 12 MESES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Unidade de Fornecimento: UNIDADE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Quantidade: 1</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Menor Valor: 860,0000</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CNPJ Vencedor: 04879401000114</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Vencedor: ARAÇA PROLAB PRODUTOS PARA LABORATORIO LTDA ME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Propostas Entregues: 4</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Desistência de Propostas: 1</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Propostas Restantes: 3</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Propostas Classificadas: 2</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Resultado do Item: Adjudicado</w:t>
      </w:r>
    </w:p>
    <w:p w:rsidR="00A724BF" w:rsidRPr="003A0D34" w:rsidRDefault="00A724BF" w:rsidP="00A724BF">
      <w:pPr>
        <w:rPr>
          <w:rFonts w:ascii="Verdana" w:hAnsi="Verdana" w:cs="Frutiger-Cn"/>
        </w:rPr>
      </w:pPr>
      <w:r w:rsidRPr="003A0D34">
        <w:rPr>
          <w:rFonts w:ascii="Verdana" w:hAnsi="Verdana" w:cs="Frutiger-Cn"/>
        </w:rPr>
        <w:t>Justificativa: CONSIDERANDO O ATENDIMENTO INTEGRAL AO EDITAL E AO PREÇO DE REFERÊNCIA, ITEM ADJUDICADO</w:t>
      </w:r>
    </w:p>
    <w:p w:rsidR="00A724BF" w:rsidRPr="003A0D34" w:rsidRDefault="00A724BF" w:rsidP="00A724BF">
      <w:pPr>
        <w:rPr>
          <w:rFonts w:ascii="Verdana" w:hAnsi="Verdana"/>
        </w:rPr>
      </w:pPr>
      <w:r w:rsidRPr="003A0D34">
        <w:rPr>
          <w:rFonts w:ascii="Verdana" w:hAnsi="Verdana"/>
          <w:noProof/>
          <w:lang w:eastAsia="pt-BR"/>
        </w:rPr>
        <w:drawing>
          <wp:inline distT="0" distB="0" distL="0" distR="0" wp14:anchorId="139FB8DB" wp14:editId="718376CF">
            <wp:extent cx="6117511" cy="926276"/>
            <wp:effectExtent l="0" t="0" r="0" b="762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7715" cy="926307"/>
                    </a:xfrm>
                    <a:prstGeom prst="rect">
                      <a:avLst/>
                    </a:prstGeom>
                    <a:noFill/>
                    <a:ln>
                      <a:noFill/>
                    </a:ln>
                  </pic:spPr>
                </pic:pic>
              </a:graphicData>
            </a:graphic>
          </wp:inline>
        </w:drawing>
      </w:r>
    </w:p>
    <w:p w:rsidR="00A724BF" w:rsidRPr="003A0D34" w:rsidRDefault="00A724BF" w:rsidP="00A724BF">
      <w:pPr>
        <w:rPr>
          <w:rFonts w:ascii="Verdana" w:hAnsi="Verdana"/>
        </w:rPr>
      </w:pPr>
      <w:r w:rsidRPr="003A0D34">
        <w:rPr>
          <w:rFonts w:ascii="Verdana" w:hAnsi="Verdana"/>
          <w:noProof/>
          <w:lang w:eastAsia="pt-BR"/>
        </w:rPr>
        <w:drawing>
          <wp:inline distT="0" distB="0" distL="0" distR="0" wp14:anchorId="37699A45" wp14:editId="69501CC2">
            <wp:extent cx="6035087" cy="2553194"/>
            <wp:effectExtent l="0" t="0" r="381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5107" cy="2553202"/>
                    </a:xfrm>
                    <a:prstGeom prst="rect">
                      <a:avLst/>
                    </a:prstGeom>
                    <a:noFill/>
                    <a:ln>
                      <a:noFill/>
                    </a:ln>
                  </pic:spPr>
                </pic:pic>
              </a:graphicData>
            </a:graphic>
          </wp:inline>
        </w:drawing>
      </w:r>
    </w:p>
    <w:p w:rsidR="00A724BF" w:rsidRPr="003A0D34" w:rsidRDefault="00A724BF" w:rsidP="00A724BF">
      <w:pPr>
        <w:rPr>
          <w:rFonts w:ascii="Verdana" w:hAnsi="Verdana"/>
        </w:rPr>
      </w:pPr>
      <w:r w:rsidRPr="003A0D34">
        <w:rPr>
          <w:rFonts w:ascii="Verdana" w:hAnsi="Verdana"/>
          <w:noProof/>
          <w:lang w:eastAsia="pt-BR"/>
        </w:rPr>
        <w:drawing>
          <wp:inline distT="0" distB="0" distL="0" distR="0" wp14:anchorId="16C97982" wp14:editId="4A4729FF">
            <wp:extent cx="6432771" cy="2470067"/>
            <wp:effectExtent l="0" t="0" r="6350" b="698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33524" cy="2470356"/>
                    </a:xfrm>
                    <a:prstGeom prst="rect">
                      <a:avLst/>
                    </a:prstGeom>
                    <a:noFill/>
                    <a:ln>
                      <a:noFill/>
                    </a:ln>
                  </pic:spPr>
                </pic:pic>
              </a:graphicData>
            </a:graphic>
          </wp:inline>
        </w:drawing>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Sessão Pública Suspensa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Às 12:21:26h do dia 31 de julho de 2017, foi suspensa a sessão pública, em virtude de Almoço.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Às 14:01:09h do dia 31 de julho de 2017, reuniram-se o Pregoeiro deste órgão/entidade Bruno Ruiz Segantini e respectivos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membros da equipe de apoio para dar continuidade aos trabalhos relativos ao pregão nº: 801085801002017OC00017.</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Encerramento realizado por Bruno Ruiz Segantini</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Considerações finais Agradecendo a participação de todos, informamos que os autos seguirão para o Sr. Diretor Geral, que, 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seu critério, homologará o certame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Data 31/07/2017 às 16:06:22</w:t>
      </w:r>
    </w:p>
    <w:p w:rsidR="00A724BF" w:rsidRPr="003A0D34" w:rsidRDefault="00A724BF" w:rsidP="00A724BF">
      <w:pPr>
        <w:rPr>
          <w:rFonts w:ascii="Verdana" w:hAnsi="Verdana" w:cs="Frutiger-Cn"/>
        </w:rPr>
      </w:pPr>
      <w:r w:rsidRPr="003A0D34">
        <w:rPr>
          <w:rFonts w:ascii="Verdana" w:hAnsi="Verdana" w:cs="Frutiger-Cn"/>
        </w:rPr>
        <w:t>A Ata na íntegra encontra-se disponível no endereço https://www2.bec.sp.gov.br – OC: 801085801002017OC00017.</w:t>
      </w: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BoldCn"/>
          <w:b/>
          <w:bCs/>
        </w:rPr>
        <w:t>8110.2017/0000094-2</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INTERESSADO: FUNDAÇÃO PAULISTANA DE EDUCAÇÃO,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TECNOLOGIA E CULTURA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ASSUNTO: Aquisição de 50 (cinquenta) banquetas necessárias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para atender as condições de biossegurança nos laboratórios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da Escola Técnica de Saúde Pública Prof. Makiguti. Pregão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eletrônico. Homologação de certame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I - À vista dos elementos constantes do presente, no uso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das atribuições a mim conferidas por lei e com fulcro nas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Leis Federais n.º 8.666/1993 e 10.520/2002, na Lei Municipal</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13.278/2002, nos Decretos Municipais n.º 44.279/2003 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46.662/2005 e manifestação da Assessoria Técnico Jurídica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desta Fundação (Parecer FUNDATEC/AJ n.º 3977109), a qual</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adoto como razão de decidir, HOMOLOGO o resultado do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certame - Pregão Eletrônico n.º 16/Fundação Paulistana/2017,</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que teve por objeto a aquisição de 50 (cinquenta) banquetas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necessárias para atender as condições de biossegurança nos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laboratórios da Escola Técnica de Saúde Pública Prof. Makiguti ,</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segundo o critério de menor preço, conforme Ata de Realização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do Pregão Eletrônico (SEI n.º 3971453), no qual o pregoeiro ADJUDICOU</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à sociedade empresária PECINI &amp; PECINI LTDA - EPP,</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inscrita no CNPJ/MF sob o n.º 04.142.739/0001-99, pelo valor</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total de R$ 16.700,00 (dezesseis mil e setecentos reais), que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deverá onerar a dotação orçamentária 80.10.12.363.3019.2.8</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81.4.4.90.52.00.00.</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II - Em consequência, fica autorizada a emissão das competentes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notas de empenho, liquidação e pagamento para 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presente exercício.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III - A fiscal de contrato será a servidora Sra. Marly Junko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Kouhiro Menezes, RG 14.923.941-5, tendo como suplente a Sr.</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Marcos Aurélio Ramos da Silva, RG n.º 28.125.664-0</w:t>
      </w:r>
    </w:p>
    <w:p w:rsidR="0062437C" w:rsidRDefault="0062437C" w:rsidP="00A724BF">
      <w:pPr>
        <w:autoSpaceDE w:val="0"/>
        <w:autoSpaceDN w:val="0"/>
        <w:adjustRightInd w:val="0"/>
        <w:spacing w:after="0" w:line="240" w:lineRule="auto"/>
        <w:rPr>
          <w:rFonts w:ascii="Verdana" w:hAnsi="Verdana" w:cs="Frutiger-BoldCn"/>
          <w:b/>
          <w:bCs/>
        </w:rPr>
      </w:pPr>
    </w:p>
    <w:p w:rsidR="00A724BF" w:rsidRPr="003A0D34" w:rsidRDefault="00A724BF" w:rsidP="00A724BF">
      <w:pPr>
        <w:autoSpaceDE w:val="0"/>
        <w:autoSpaceDN w:val="0"/>
        <w:adjustRightInd w:val="0"/>
        <w:spacing w:after="0" w:line="240" w:lineRule="auto"/>
        <w:rPr>
          <w:rFonts w:ascii="Verdana" w:hAnsi="Verdana" w:cs="Frutiger-BoldCn"/>
          <w:b/>
          <w:bCs/>
        </w:rPr>
      </w:pPr>
      <w:r w:rsidRPr="003A0D34">
        <w:rPr>
          <w:rFonts w:ascii="Verdana" w:hAnsi="Verdana" w:cs="Frutiger-BoldCn"/>
          <w:b/>
          <w:bCs/>
        </w:rPr>
        <w:t>8110.2017/0000164-7</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INTERESSADO: FUNDAÇÃO PAULISTANA DE EDUCAÇÃO,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TECNOLOGIA E CULTURA.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ASSUNTO: Aquisição de Material Necessário para o curso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de maquiagem cênica no Centro de Formação Cultural Cidade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Tiradentes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I – No uso das atribuições que me foram conferidas por lei</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e demais elementos do presente, em especial a manifestação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da Assessoria Técnico-Jurídica desta Fundação (SEI 3978039)</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e com fulcro no artigo 24, inciso II da Lei Federal 8666/93,</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combinado com o disposto na Lei Municipal n. 13.278/2002,</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regulamentada pelo Decreto Municipal n. 44.279/2003 e Decreto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Municipal nº 54.102/2013, AUTORIZO a contratação direta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da sociedade empresária UNHA &amp; COR LTDA - ME, inscrita no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CNPJ/MF sob o nº17.513.233/0002-71, para fornecimento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materiais de maquiagem para o curso de maquiagem cênica no</w:t>
      </w:r>
    </w:p>
    <w:p w:rsidR="00A724BF" w:rsidRPr="003A0D34" w:rsidRDefault="00A724BF" w:rsidP="00A724BF">
      <w:pPr>
        <w:spacing w:after="0"/>
        <w:rPr>
          <w:rFonts w:ascii="Verdana" w:hAnsi="Verdana" w:cs="Frutiger-Cn"/>
        </w:rPr>
      </w:pPr>
      <w:r w:rsidRPr="003A0D34">
        <w:rPr>
          <w:rFonts w:ascii="Verdana" w:hAnsi="Verdana" w:cs="Frutiger-Cn"/>
        </w:rPr>
        <w:t>Centro de Formação Cultural Cidade Tiradentes, pelo valor de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R$3.095,00 (três mil e noventa e cinco reais) para o item 1 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R$3.850,00 (três mil, oitocentos e cinquenta reais) para o item</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2, totalizando R$6.945,00 (seis mil, novecentos e quarenta 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cinco reais), conforme cotação eletrônica com relatório registrado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sob Documento SEI 3970945.</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II – Em consequência, fica autorizada a emissão das respectivas</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notas de empenho e liquidação e pagamento, onerando a</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dotação 80.10.12.363.3019.2.881.3.3.90.30.00.02 do presente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exercício.</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III – Ficam indicados como fiscal a servidora Bruna Henrique</w:t>
      </w:r>
    </w:p>
    <w:p w:rsidR="00A724BF" w:rsidRPr="003A0D34" w:rsidRDefault="00A724BF" w:rsidP="00A724BF">
      <w:pPr>
        <w:autoSpaceDE w:val="0"/>
        <w:autoSpaceDN w:val="0"/>
        <w:adjustRightInd w:val="0"/>
        <w:spacing w:after="0" w:line="240" w:lineRule="auto"/>
        <w:rPr>
          <w:rFonts w:ascii="Verdana" w:hAnsi="Verdana" w:cs="Frutiger-Cn"/>
        </w:rPr>
      </w:pPr>
      <w:r w:rsidRPr="003A0D34">
        <w:rPr>
          <w:rFonts w:ascii="Verdana" w:hAnsi="Verdana" w:cs="Frutiger-Cn"/>
        </w:rPr>
        <w:t>Caruso RG 37.724.647-5e como suplente Andrezza Karina</w:t>
      </w:r>
    </w:p>
    <w:p w:rsidR="00A724BF" w:rsidRPr="003A0D34" w:rsidRDefault="00A724BF" w:rsidP="00A724BF">
      <w:pPr>
        <w:rPr>
          <w:rFonts w:ascii="Verdana" w:hAnsi="Verdana" w:cs="Frutiger-Cn"/>
        </w:rPr>
      </w:pPr>
      <w:r w:rsidRPr="003A0D34">
        <w:rPr>
          <w:rFonts w:ascii="Verdana" w:hAnsi="Verdana" w:cs="Frutiger-Cn"/>
        </w:rPr>
        <w:t>Rodrigues RG 27.143.042-4</w:t>
      </w:r>
    </w:p>
    <w:p w:rsidR="003A0D34" w:rsidRPr="0062437C" w:rsidRDefault="003A0D34" w:rsidP="0062437C">
      <w:pPr>
        <w:jc w:val="center"/>
        <w:rPr>
          <w:rFonts w:ascii="Verdana" w:hAnsi="Verdana" w:cs="Frutiger-Cn"/>
          <w:b/>
          <w:sz w:val="24"/>
        </w:rPr>
      </w:pPr>
      <w:r w:rsidRPr="0062437C">
        <w:rPr>
          <w:rFonts w:ascii="Verdana" w:hAnsi="Verdana" w:cs="Frutiger-Cn"/>
          <w:b/>
          <w:sz w:val="24"/>
        </w:rPr>
        <w:t>Tribunal de Contas, pág. 141</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3)TC 2.904/07-74 – Secretaria Municipal de Assistência e Desenvolvimento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Social, Secretaria Municipal de Educação, Secretaria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Municipal do Trabalho e Fundação Paulistana de Educação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 Tecnologia – Acompanhamento – Execução do convênio –</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Verificar se o Convênio 53/Smads/SME/SMTrab/Fundação Paulistana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Educação e Tecnologia (R$ 26.431.920,00), cujo objeto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é a execução das atividades de formação escolar e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qualificação profissional para 30.000 jovens entre 18 a 24</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anos, previstos no Programa Nacional de Inclusão de Jovens –</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Projovem, está sendo executado conforme o pactuado ACÓRDÃO: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"Vistos, relatados e discutidos estes autos, dos quais é</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Relator o Conselheiro Domingos Dissei. Acordam os Conselheiros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do Tribunal de Contas do Município de São Paulo, à unanimidade,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conformidade com o relatório e voto do Relator, em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julgar irregular a execução do Convênio 53/Smads/SME/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SMTrab/Fundação Paulistana de Educação e Tecnologia, no período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 valores examinados, diante das conclusões alcançadas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pelos Órgãos Técnicos desta Corte. Acordam, ainda, à unanimidade,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em acolher os efeitos financeiros produzidos, tendo em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vista as informações da Auditoria no sentido de que os serviços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foram prestados, bem como as pequenas diferenças verificadas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no que diz respeito ao valor de encargos de 2 (dois)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funcionários e a retenção do Imposto de Renda de outros dois,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são inexpressivos diante do valor total do convênio. Acordam,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afinal, à unanimidade, em determinar, após as providenciais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regimentais, o arquivamento dos autos. Relatório: Em julgamento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o Acompanhamento da Execução do Convênio 53/2006,</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celebrado entre as Secretarias Municipais de Assistência e Desenvolvimento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Social, Educação, e a antiga Secretaria Municipal</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do Trabalho a Fundação Paulistana de Educação e Tecnologia,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com a Fundação Paulistana de Educação e Tecnologia,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objetivando a execução das atividades de formação escolar 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qualificação profissional previstos no Programa Nacional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Inclusão de Jovens – PROJOVEM, observadas as diretrizes fixadas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pela Coordenação do Programa, mediante a seleção 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contratação de professores de ensino fundamental e educadores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formação profissional, com repasse total previsto da ordem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R$ 26.431.920,00, com vigência até 31/10/2007.</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Cumpre, preliminarmente, ressaltar que o Município de São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Paulo firmou Convênio com o Fundo Nacional de Desenvolvimento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da Educação – FNDE, da Fundação do Ministério da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Educação, para implantar em São Paulo o Programa Nacional</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Inclusão de Jovens - ProJovem, instituído pela Lei Federal</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11.129/2005. Para implementar o Programa, que ficou sob 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responsabilidade da Secretaria Municipal de Assistência e Desenvolvimento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Social, foram firmados os seguintes instrumentos: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 Termo de Convênio 53/SMADS/SMTRAB com a Fundação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Paulistana de Educação e Tecnologia, análise formal no TC</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2.881.07-70, no valor de R$ 26.431.920,00, com vigência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22.05.06 a 31.10.07, objetivando a contratação de professores,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o qual é objeto de acompanhamento de execução nestes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autos; b) Termo de Contrato 12/06 com o Centro de Estudos 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Pesquisas em Educação, Cultura e Ação Comunitária –</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CENPEC, análise formal no TC 3.261.07-21, cujo objeto é formação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inicial e continuada dos Educadores e Coordenadores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que atuariam no ProJovem, compreendendo acompanhamento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 assessoramento às ações; c) Termo de Contrato 05/06 com 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Centro Integrado de Estudos e Programas de Desenvolvimento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Sustentável – CIEDS, análise formal no TC 2.851.06-29, cujo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objeto é a prestação de serviços para instituição do Programa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PROJOVEM – Prestação de serviços especializados para seleção,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contratação, acompanhamento e supervisão da atuação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dos Coordenadores, dos Educadores de Ação e do pessoal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apoio à gestão, à implementação e ao acompanhamento e supervisão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do Programa, no valor total de R$ 5.382.450,00 no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período de 20.03.06 a 19.06.07; Ressalte-se que o Termo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Convênio 53/SMADS/SMTRAB e os Termos Aditivos 01/2006 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02/2007, foram julgados regulares, à unanimidade, por este 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Tribunal no TC 2.881/07-70. A Subsecretaria de Fiscalização 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Controle realizou auditoria no período de 27/08 a 21/09/2007,</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com abrangência de maio a junho de 2007, a fim de verificar</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se a execução das atividades estavam conforme o pactuado, 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concluiu pela irregularidade da execução do Convênio pelas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seguintes razões: 1. Inobservância do item 1 da cláusula sétima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do Termo de Convênio, das cláusulas quinta, item 2, e sétima,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item 1, que dispõem sobre as obrigações da Secretaria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Municipal de Educação e da Fundação, as quais, conjuntamente,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deveriam realizar o processo de seleção dos professores 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educadores a serem contratados; e falta de constituição do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fundo de reserva previsto na cláusula sétima, item 17, alínea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 do convênio; 2. Da contratação dos educadores: falta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evidência de ter havido um processo de seleção para contratação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dos professores e educadores pelo CIEDS; e contratação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educadores anterior à data de assinatura do Convênio; 3. Da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Documentação dos Educadores: ausência de Termo de Compromisso,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exames admissionais, de formalização de Contratos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Trabalho, Contratos de Trabalho não datado, falta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procedimento uniforme para arquivo dos termo de opção do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Vale Transporte e retenção de CTPS; 4. Da Folha de Pagamento: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ausência e inconsistência das listas de frequência e controle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frequência sem efetividade; 5. Do Pagamento de Vale Transporte: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pagamento de Vale Transporte intermunicipal em dinheiro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 procedimento de controle ineficiente; 6. Das Rescisões dos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Contratos de Trabalho: pagamento de dias não trabalhados 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ausência de exames demissionais; 7. Dos Controles: a SMADS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não vinha efetuando um controle completo do Convênio, pois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não deveria se ater somente à prestação de contas e verificação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do pagamento aos educadores; 8. Das Prestações de Contas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Maio de 2007: ausência de justificativa no recolhimento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IR; falta de esclarecimento sobre a contribuição sindical 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da falta inclusão do valor de R$ 2.755,27 referente à diferença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salários em folha de pagamento; falta de informação sobre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o procedimento para cálculo da base de contribuição do FGTS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 do INSS patronal; falta de procedimento específico de controle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do pagamento de vale-transporte; pagamento indevido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R$ 2.680,00 e duplicidade na contabilização do respectivo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INSS; e duplicidade na contabilização do INSS do contador. 8.2.</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Análise de Junho de 2007: faltava esclarecimento sobre 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contribuições sindicais e a inclusão do valor de R$ 627,01 em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folha de pagamento; necessidade de justificar o valor de R$</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10,39 devolvido ao educador Eduardo Santana, sendo que foi</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descontado no termo de rescisão; de inserir todos os comprovantes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depósito de rescisão na prestação de contas; de informar</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o procedimento para cálculo da base de contribuição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do FGTS e do INSS patronal; o INSS dos segurados contribuintes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individuais informados em alínea estava incorreto; falta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procedimento específico de controle do pagamento de vale-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-transporte; pagamento indevido de R$ 2.680,00 e duplicidade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na apresentação do INSS na DESP; duplicidade na contabilização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do INSS do contador e na contabilização do INSS do advogado;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ausência de Conciliação bancária, acarretando uma diferença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em maio de R$ 617,87 recebido a menor pela Fundação,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 em junho, uma diferença de falta de prestação de contas no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valor de R$ 2.570,76, recebido a menor pela Fundação. Consignou,</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ainda, que, embora o valor acima tenha sido apurado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em relação à prestação de contas, não seria possível aferir 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montante pago de forma irregular decorrente das falhas no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apontamento e no desconto de faltas, falhas no desconto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vale transporte, entre outras apontadas nos itens anteriores,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uma vez que o trabalho foi realizado com base em uma amostra.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Foram intimados os Senhores: Geraldo José de Barros, na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qualidade de Coordenador Geral do ProJovem, e Antonio Floriano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Pereira Pesaro, na ocasião Secretário Municipal de Assistência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 Desenvolvimento Social, para que se manifestassem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acerca das conclusões do relatório da Auditoria. Transcorrido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“in albis” o prazo assinalado para o oferecimento de defesa,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os autos foram submetidos à apreciação da Procuradoria da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Fazenda Municipal. A Procuradoria da Fazenda Municipal ponderou</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que a matéria examinada nestes autos é extremamente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técnica, sendo o aprofundamento da instrução processual medida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fundamental interesse para o deslinde das diversas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questões suscitadas, requerendo a intimação de SMADS e da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SMTRAB, bem como da Conveniada, para prestarem esclarecimentos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sobre os apontamentos. Atendendo ao requerido, foram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intimados o Senhor Paulo Sergio de Oliveira e Costa, então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Secretário de SMADS, e Senhor Nelson de Almeida Prado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Hervey Costa, então Secretário da SMTRAB, bem como o Representante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legal da Fundação Paulistana de Educação e Tecnologia.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 Secretaria Municipal do Trabalho alegou que não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houve falha por parte da Pasta. Isto porque a seleção de professores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era uma atribuição conjunta e não privativa da Secretaria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Municipal do Trabalho, tendo a SMADS uma obrigação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menor, pois a Secretaria Municipal de Educação e a Fundação,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em razão da própria competência administrativa decorrente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lei, fiscalizaram esse processo de seleção e contratação. Alegou</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ainda que os demais apontamentos seriam melhor esclarecidos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pela SME e pela SMADS, especialmente esta última, 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quem competiu fiscalizar o adequado uso da verba repassada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 o cumprimento das cláusulas do Termo de Convênio. A Fundação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Paulistana de Educação e Tecnologia, por seu turno, informou</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que os valores que remanesciam do mês anterior eram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descontados dos meses subsequentes e que os termos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compromisso foram feitos somente para as primeiras turmas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educadores, pois para as turmas posteriores haviam 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contratos de trabalho por prazo determinado. Alegou, ainda,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que as carteiras de trabalho dos educadores se encontravam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na Fundação para ser atualizadas com as devidas anotações,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tendo os educadores recebido comunicado para retirarem suas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carteiras de trabalho, as quais permaneciam à disposição. Ainda,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informou que o controle de frequência era realizado pelos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coordenadores das Estações Juventude e cabia à Origem analisar</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as folhas de controle. Alegou também que o vale transporte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para alguns funcionários era pago em dinheiro, pois moravam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em outros municípios, nos quais não era possível utilizar</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o bilhete único. Quanto ao desconto da contribuição sindical,</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informou que era feita com o consentimento dos funcionários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filiados ao sindicato, e que todos os pagamentos haviam ocorrido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da forma adequada. Ainda, foram trazidos documentos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probatórios de suas respostas, esclarecendo, ao final, que envidou</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todos os esforços para esclarecer os questionamentos feitos.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 Coordenadoria Municipal do ProJovem, da SMADS, juntou</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seus esclarecimentos em minucioso relatório, respondendo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 todos os questionamentos e anexando documentos para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comprovar os argumentos trazidos, aguardando sua aceitação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por parte deste Tribunal. A Subsecretaria de Fiscalização 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Controle, analisando as defesas oferecidas, considerou sanadas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as irregularidades referentes à folha de pagamento e à</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contribuição sindical. Entendeu, também, parcialmente sanadas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as irregularidades referentes à contratação dos educadores,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à documentação dos educadores e à contribuição patronal,</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referente à parcela do INSS. Observou, ainda, que 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Origem deixou de se manifestar sobre alguns pontos. O Subsecretário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Fiscalização e Controle atendendo determinação da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Relatoria e analisando as conclusões Auditoria, discordou do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entendimento no que diz respeito à Contratação de educadores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 apesar da ausência de evidências de ter ocorrido o processo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seleção, opinou pela relevação da irregularidade.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Acrescentou entendimento no sentido de que as Secretarias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envolvidas, conhecendo dos problemas enfrentados pela Fundação,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deveriam de imediato ter denunciado o Convênio, em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face do elevado número de infringências e irregularidades verificadas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em apenas 2 (dois) meses de execução. A Assessoria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Jurídica de Controle Externo, por seu turno, registrou que 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ajuste apresentou diversas irregularidades e infringências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constatadas “in loco” pela Auditoria. Entendeu, no entanto,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que a matéria analisada era de cunho fático, levando-a a acatar</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as conclusões da Auditoria e a reiterar o pronunciado do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Senhor Subsecretário de Fiscalização e Controle, no sentido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que as Secretarias envolvidas deveriam ter denunciado o Convênio.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 Procuradoria da Fazenda Municipal consignou que,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por ocasião da sua intimação, a Origem, ao prestar seus esclarecimentos,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não havia tido ciência das manifestações da Auditoria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 da Assessoria Jurídica de Controle Externo, os quais foram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colacionados posteriormente, sendo relevante notar que 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posicionamento da SFC é bastante divergente do parecer da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Coordenadoria III. Foi, então, determinada a intimação da Senhora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Valdirene Tizzano, na qualidade de Diretora-Presidente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da Fundação Paulistana de Educação e Tecnologia; Luiz Marco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Mogron, na qualidade de Chefe de Gabinete da Secretaria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Municipal de Desenvolvimento Econômico e do Trabalho – SEMDET,</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 Senhora Maria Luiza Gomes da Silva Azevedo, na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qualidade de Chefe de Gabinete da Secretaria Municipal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Assistência e Desenvolvimento Social – SMADS. A Fundação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Paulistana de Educação e Tecnologia apresentou defesa e ofereceu</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respostas aos questionamentos elaborados pela Procuradoria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da Fazenda Municipal, rebatendo, ponto a ponto, todos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os apontamentos do Órgão Auditor. A Origem encaminhou</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seus esclarecimentos, alegando, em síntese: que as atividades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do ProJovem foram encerradas no final de 2008 e que o único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servidor que remanescia era o Sr. Geraldo José de Barros, 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qual, na época, exercia o cargo de Coordenador Geral. Porém,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referido servidor, por motivo de doença, vinha intercalando diversas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licenças médicas, o que inviabilizou a obtenção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maiores informações acerca do assunto. Informou ainda a Origem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que não possuía elementos para novos esclarecimentos,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posto que os servidores que atuaram no programa não mais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prestavam serviços à SMADS. A Auditoria, analisando a documentação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acrescida, concluiu remanescer as irregularidades.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No entanto, a pedido do Conselheiro Relator à época, informou</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que, apesar das inúmeras falhas elencadas, os serviços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objeto do Convênio foram prestados. A Procuradoria da Fazenda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Municipal, diante da informação da Auditoria, entendeu</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que a execução do ajuste poderia ser acolhida na medida em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que as impropriedades apontadas, por serem formais, não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comprometeram a validade e a eficácia dos atos praticados. 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Senhor Secretário Geral corroborou o entendimento pela irregularidade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da execução em análise, atentando para a informação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que os serviços foram prestados. Na sequência, os autos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retornaram à Auditoria para esclarecer se em razão das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falhas verificadas nas prestações de contas houve recebimentos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maiores do que os devidos por parte de algum profissional</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contratada pela Fundação, tendo aquela Especializada explicitado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que, no tocante à ausência de justificativa do recolhimento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do Imposto de Renda, o valor em discussão era da ordem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R$ 21,48, portanto, considerado imaterial em relação ao valor</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do Convênio. Quanto à falta de inclusão do valor de R$</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2.755,27, consoante esclareceu a Origem “A metodologia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elaboração da folha de pagamentos utilizada pela PRODAM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impediu a inclusão das restituições no valor de R$ 2.755,27.</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Não obstante, as restituições eram devidas e foram realizadas.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 não inclusão na folha de pagamentos não significou a ausência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das devidas retenções sobre as restituições realizadas.”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Por derradeiro, manteve o Órgão Auditor a conclusão pela irregularidade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da execução do ajuste, apesar de não apontar valores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 serem glosados. A Procuradoria da Fazenda Municipal</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reiterou sua manifestação anterior. A Secretaria Geral ratificou</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as conclusões pela irregularidade da execução do convenio,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dada as falhas apontadas, embora as diferenças verificadas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durante a execução do Convênio não sejam expressivos diante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seu valor total. É o Relatório. Voto: 1 – Em julgamento 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acompanhamento da execução do Convênio 53 firmado entre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as Secretarias Municipais de Assistência e Desenvolvimento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Social, Educação e a antiga Secretaria Municipal do Trabalho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com a Fundação Paulistana de Educação e Tecnologia, objetivando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o atendimento de 30.000 jovens em atividades de formação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escolar e qualificação profissional, previstos no Programa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Nacional de Inclusão de Jovens – PROJOVEM, observadas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as diretrizes fixadas pela Coordenação do Programa, mediante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 seleção e contratação de professores de ensino fundamental</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 educadores de formação profissional, com repasse de recursos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Federais, no valor R$ 26.431.920,00. 2 – O Acompanhamento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em julgamento abrangeu o período de maio e junho 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2007, no montante de R$ 1.075.139,67. 3 – Destaco, preliminarmente,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que o referido Convênio foi acolhido, à unanimidade,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por esta Corte. 4 – A Subsecretaria de Fiscalização e Controle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elaborou minucioso relatório apontando diversas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irregularidades no tocante à inobservância de cláusulas do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Termo de Convênio, além de falhas nos controles e nas prestações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de contas, que não restaram sanadas no curso da instrução,</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apesar das manifestações oferecidas pelas partes envolvidas.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Registrou, no entanto, que, apesar das falhas apontadas,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os serviços objeto do convênio foram prestados. 6 – Na verdade,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as constatações dos órgãos técnicos desta Corte revelaram</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que a Fundação Paulistana de Educação não contava com estrutura</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administrativa suficiente para arcar com as inúmeras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tarefas assumidas por força do aludido convênio. 7 – Diante</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das conclusões dos Órgãos desta Corte, cujos fundamentos</w:t>
      </w:r>
    </w:p>
    <w:p w:rsidR="003A0D34" w:rsidRPr="003A0D34" w:rsidRDefault="003A0D34" w:rsidP="003A0D34">
      <w:pPr>
        <w:autoSpaceDE w:val="0"/>
        <w:autoSpaceDN w:val="0"/>
        <w:adjustRightInd w:val="0"/>
        <w:spacing w:after="0" w:line="240" w:lineRule="auto"/>
        <w:rPr>
          <w:rFonts w:ascii="Verdana" w:hAnsi="Verdana" w:cs="Frutiger-Cn"/>
        </w:rPr>
      </w:pPr>
      <w:r w:rsidRPr="003A0D34">
        <w:rPr>
          <w:rFonts w:ascii="Verdana" w:hAnsi="Verdana" w:cs="Frutiger-Cn"/>
        </w:rPr>
        <w:t>adoto como razão de decidir, JULGO IRRREGULAR a Execução</w:t>
      </w:r>
    </w:p>
    <w:p w:rsidR="003A0D34" w:rsidRPr="003A0D34" w:rsidRDefault="003A0D34" w:rsidP="003A0D34">
      <w:pPr>
        <w:autoSpaceDE w:val="0"/>
        <w:autoSpaceDN w:val="0"/>
        <w:adjustRightInd w:val="0"/>
        <w:spacing w:after="0" w:line="240" w:lineRule="auto"/>
        <w:rPr>
          <w:rFonts w:ascii="Verdana" w:hAnsi="Verdana" w:cs="Arial"/>
        </w:rPr>
      </w:pPr>
      <w:r w:rsidRPr="003A0D34">
        <w:rPr>
          <w:rFonts w:ascii="Verdana" w:hAnsi="Verdana" w:cs="Arial"/>
        </w:rPr>
        <w:t>do Convênio no período e valores examinados. 8 – Contudo,</w:t>
      </w:r>
    </w:p>
    <w:p w:rsidR="003A0D34" w:rsidRPr="003A0D34" w:rsidRDefault="003A0D34" w:rsidP="003A0D34">
      <w:pPr>
        <w:autoSpaceDE w:val="0"/>
        <w:autoSpaceDN w:val="0"/>
        <w:adjustRightInd w:val="0"/>
        <w:spacing w:after="0" w:line="240" w:lineRule="auto"/>
        <w:rPr>
          <w:rFonts w:ascii="Verdana" w:hAnsi="Verdana" w:cs="Arial"/>
        </w:rPr>
      </w:pPr>
      <w:r w:rsidRPr="003A0D34">
        <w:rPr>
          <w:rFonts w:ascii="Verdana" w:hAnsi="Verdana" w:cs="Arial"/>
        </w:rPr>
        <w:t>considerando as informações da Auditoria no sentido de que</w:t>
      </w:r>
    </w:p>
    <w:p w:rsidR="003A0D34" w:rsidRPr="003A0D34" w:rsidRDefault="003A0D34" w:rsidP="003A0D34">
      <w:pPr>
        <w:autoSpaceDE w:val="0"/>
        <w:autoSpaceDN w:val="0"/>
        <w:adjustRightInd w:val="0"/>
        <w:spacing w:after="0" w:line="240" w:lineRule="auto"/>
        <w:rPr>
          <w:rFonts w:ascii="Verdana" w:hAnsi="Verdana" w:cs="Arial"/>
        </w:rPr>
      </w:pPr>
      <w:r w:rsidRPr="003A0D34">
        <w:rPr>
          <w:rFonts w:ascii="Verdana" w:hAnsi="Verdana" w:cs="Arial"/>
        </w:rPr>
        <w:t>os serviços foram prestados, bem como de que as pequenas</w:t>
      </w:r>
    </w:p>
    <w:p w:rsidR="003A0D34" w:rsidRPr="003A0D34" w:rsidRDefault="003A0D34" w:rsidP="003A0D34">
      <w:pPr>
        <w:autoSpaceDE w:val="0"/>
        <w:autoSpaceDN w:val="0"/>
        <w:adjustRightInd w:val="0"/>
        <w:spacing w:after="0" w:line="240" w:lineRule="auto"/>
        <w:rPr>
          <w:rFonts w:ascii="Verdana" w:hAnsi="Verdana" w:cs="Arial"/>
        </w:rPr>
      </w:pPr>
      <w:r w:rsidRPr="003A0D34">
        <w:rPr>
          <w:rFonts w:ascii="Verdana" w:hAnsi="Verdana" w:cs="Arial"/>
        </w:rPr>
        <w:t>diferenças verificadas no que diz respeito ao valor de encargos</w:t>
      </w:r>
    </w:p>
    <w:p w:rsidR="003A0D34" w:rsidRPr="003A0D34" w:rsidRDefault="003A0D34" w:rsidP="003A0D34">
      <w:pPr>
        <w:autoSpaceDE w:val="0"/>
        <w:autoSpaceDN w:val="0"/>
        <w:adjustRightInd w:val="0"/>
        <w:spacing w:after="0" w:line="240" w:lineRule="auto"/>
        <w:rPr>
          <w:rFonts w:ascii="Verdana" w:hAnsi="Verdana" w:cs="Arial"/>
        </w:rPr>
      </w:pPr>
      <w:r w:rsidRPr="003A0D34">
        <w:rPr>
          <w:rFonts w:ascii="Verdana" w:hAnsi="Verdana" w:cs="Arial"/>
        </w:rPr>
        <w:t>de 2 (dois) funcionários, bem como a retenção do Imposto de</w:t>
      </w:r>
    </w:p>
    <w:p w:rsidR="003A0D34" w:rsidRPr="003A0D34" w:rsidRDefault="003A0D34" w:rsidP="003A0D34">
      <w:pPr>
        <w:autoSpaceDE w:val="0"/>
        <w:autoSpaceDN w:val="0"/>
        <w:adjustRightInd w:val="0"/>
        <w:spacing w:after="0" w:line="240" w:lineRule="auto"/>
        <w:rPr>
          <w:rFonts w:ascii="Verdana" w:hAnsi="Verdana" w:cs="Arial"/>
        </w:rPr>
      </w:pPr>
      <w:r w:rsidRPr="003A0D34">
        <w:rPr>
          <w:rFonts w:ascii="Verdana" w:hAnsi="Verdana" w:cs="Arial"/>
        </w:rPr>
        <w:t>Renda de outros dois, são inexpressivos diante do valor total</w:t>
      </w:r>
    </w:p>
    <w:p w:rsidR="003A0D34" w:rsidRPr="003A0D34" w:rsidRDefault="003A0D34" w:rsidP="003A0D34">
      <w:pPr>
        <w:autoSpaceDE w:val="0"/>
        <w:autoSpaceDN w:val="0"/>
        <w:adjustRightInd w:val="0"/>
        <w:spacing w:after="0" w:line="240" w:lineRule="auto"/>
        <w:rPr>
          <w:rFonts w:ascii="Verdana" w:hAnsi="Verdana" w:cs="Arial"/>
        </w:rPr>
      </w:pPr>
      <w:r w:rsidRPr="003A0D34">
        <w:rPr>
          <w:rFonts w:ascii="Verdana" w:hAnsi="Verdana" w:cs="Arial"/>
        </w:rPr>
        <w:t>do convênio, ACOLHO os efeitos financeiros produzidos. Após</w:t>
      </w:r>
    </w:p>
    <w:p w:rsidR="003A0D34" w:rsidRPr="003A0D34" w:rsidRDefault="003A0D34" w:rsidP="003A0D34">
      <w:pPr>
        <w:autoSpaceDE w:val="0"/>
        <w:autoSpaceDN w:val="0"/>
        <w:adjustRightInd w:val="0"/>
        <w:spacing w:after="0" w:line="240" w:lineRule="auto"/>
        <w:rPr>
          <w:rFonts w:ascii="Verdana" w:hAnsi="Verdana" w:cs="Arial"/>
        </w:rPr>
      </w:pPr>
      <w:r w:rsidRPr="003A0D34">
        <w:rPr>
          <w:rFonts w:ascii="Verdana" w:hAnsi="Verdana" w:cs="Arial"/>
        </w:rPr>
        <w:t>as providenciais regimentais, arquivem-se os autos. É como</w:t>
      </w:r>
    </w:p>
    <w:p w:rsidR="003A0D34" w:rsidRPr="003A0D34" w:rsidRDefault="003A0D34" w:rsidP="003A0D34">
      <w:pPr>
        <w:autoSpaceDE w:val="0"/>
        <w:autoSpaceDN w:val="0"/>
        <w:adjustRightInd w:val="0"/>
        <w:spacing w:after="0" w:line="240" w:lineRule="auto"/>
        <w:rPr>
          <w:rFonts w:ascii="Verdana" w:hAnsi="Verdana" w:cs="Arial"/>
        </w:rPr>
      </w:pPr>
      <w:r w:rsidRPr="003A0D34">
        <w:rPr>
          <w:rFonts w:ascii="Verdana" w:hAnsi="Verdana" w:cs="Arial"/>
        </w:rPr>
        <w:t>voto. Participaram do julgamento os Conselheiros Maurício Faria</w:t>
      </w:r>
    </w:p>
    <w:p w:rsidR="003A0D34" w:rsidRPr="003A0D34" w:rsidRDefault="003A0D34" w:rsidP="003A0D34">
      <w:pPr>
        <w:autoSpaceDE w:val="0"/>
        <w:autoSpaceDN w:val="0"/>
        <w:adjustRightInd w:val="0"/>
        <w:spacing w:after="0" w:line="240" w:lineRule="auto"/>
        <w:rPr>
          <w:rFonts w:ascii="Verdana" w:hAnsi="Verdana" w:cs="Arial"/>
        </w:rPr>
      </w:pPr>
      <w:r w:rsidRPr="003A0D34">
        <w:rPr>
          <w:rFonts w:ascii="Verdana" w:hAnsi="Verdana" w:cs="Arial"/>
        </w:rPr>
        <w:t>– Revisor, Edson Simões e João Antonio. Presente o Procurador</w:t>
      </w:r>
    </w:p>
    <w:p w:rsidR="003A0D34" w:rsidRPr="003A0D34" w:rsidRDefault="003A0D34" w:rsidP="003A0D34">
      <w:pPr>
        <w:autoSpaceDE w:val="0"/>
        <w:autoSpaceDN w:val="0"/>
        <w:adjustRightInd w:val="0"/>
        <w:spacing w:after="0" w:line="240" w:lineRule="auto"/>
        <w:rPr>
          <w:rFonts w:ascii="Verdana" w:hAnsi="Verdana" w:cs="Arial"/>
        </w:rPr>
      </w:pPr>
      <w:r w:rsidRPr="003A0D34">
        <w:rPr>
          <w:rFonts w:ascii="Verdana" w:hAnsi="Verdana" w:cs="Arial"/>
        </w:rPr>
        <w:t>Chefe da Fazenda Carlos José Galvão. Plenário Conselheiro</w:t>
      </w:r>
    </w:p>
    <w:p w:rsidR="003A0D34" w:rsidRPr="003A0D34" w:rsidRDefault="003A0D34" w:rsidP="003A0D34">
      <w:pPr>
        <w:autoSpaceDE w:val="0"/>
        <w:autoSpaceDN w:val="0"/>
        <w:adjustRightInd w:val="0"/>
        <w:spacing w:after="0" w:line="240" w:lineRule="auto"/>
        <w:rPr>
          <w:rFonts w:ascii="Verdana" w:hAnsi="Verdana" w:cs="Arial"/>
        </w:rPr>
      </w:pPr>
      <w:r w:rsidRPr="003A0D34">
        <w:rPr>
          <w:rFonts w:ascii="Verdana" w:hAnsi="Verdana" w:cs="Arial"/>
        </w:rPr>
        <w:t>Paulo Planet Buarque, 5 de julho de 2017. a) Roberto</w:t>
      </w:r>
    </w:p>
    <w:p w:rsidR="003A0D34" w:rsidRPr="003A0D34" w:rsidRDefault="003A0D34" w:rsidP="003A0D34">
      <w:pPr>
        <w:autoSpaceDE w:val="0"/>
        <w:autoSpaceDN w:val="0"/>
        <w:adjustRightInd w:val="0"/>
        <w:spacing w:after="0" w:line="240" w:lineRule="auto"/>
        <w:rPr>
          <w:rFonts w:ascii="Verdana" w:hAnsi="Verdana"/>
        </w:rPr>
      </w:pPr>
      <w:r w:rsidRPr="003A0D34">
        <w:rPr>
          <w:rFonts w:ascii="Verdana" w:hAnsi="Verdana" w:cs="Arial"/>
        </w:rPr>
        <w:t>Braguim – Presidente; a) Domingos Dissei – Relator."</w:t>
      </w:r>
    </w:p>
    <w:sectPr w:rsidR="003A0D34" w:rsidRPr="003A0D3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BlackCn">
    <w:panose1 w:val="00000000000000000000"/>
    <w:charset w:val="00"/>
    <w:family w:val="swiss"/>
    <w:notTrueType/>
    <w:pitch w:val="default"/>
    <w:sig w:usb0="00000003" w:usb1="00000000" w:usb2="00000000" w:usb3="00000000" w:csb0="00000001" w:csb1="00000000"/>
  </w:font>
  <w:font w:name="Frutiger-BoldCn">
    <w:panose1 w:val="00000000000000000000"/>
    <w:charset w:val="00"/>
    <w:family w:val="swiss"/>
    <w:notTrueType/>
    <w:pitch w:val="default"/>
    <w:sig w:usb0="00000003" w:usb1="00000000" w:usb2="00000000" w:usb3="00000000" w:csb0="00000001" w:csb1="00000000"/>
  </w:font>
  <w:font w:name="Frutiger-LightItalic">
    <w:panose1 w:val="00000000000000000000"/>
    <w:charset w:val="00"/>
    <w:family w:val="swiss"/>
    <w:notTrueType/>
    <w:pitch w:val="default"/>
    <w:sig w:usb0="00000003" w:usb1="00000000" w:usb2="00000000" w:usb3="00000000" w:csb0="00000001" w:csb1="00000000"/>
  </w:font>
  <w:font w:name="Frutiger-Cn">
    <w:panose1 w:val="00000000000000000000"/>
    <w:charset w:val="00"/>
    <w:family w:val="swiss"/>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IDFont+F5">
    <w:panose1 w:val="00000000000000000000"/>
    <w:charset w:val="00"/>
    <w:family w:val="auto"/>
    <w:notTrueType/>
    <w:pitch w:val="default"/>
    <w:sig w:usb0="00000003" w:usb1="00000000" w:usb2="00000000" w:usb3="00000000" w:csb0="00000001" w:csb1="00000000"/>
  </w:font>
  <w:font w:name="CIDFont+F9">
    <w:panose1 w:val="00000000000000000000"/>
    <w:charset w:val="00"/>
    <w:family w:val="swiss"/>
    <w:notTrueType/>
    <w:pitch w:val="default"/>
    <w:sig w:usb0="00000003" w:usb1="00000000" w:usb2="00000000" w:usb3="00000000" w:csb0="00000001" w:csb1="00000000"/>
  </w:font>
  <w:font w:name="CIDFont+F10">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812BAF"/>
    <w:multiLevelType w:val="hybridMultilevel"/>
    <w:tmpl w:val="9982847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B0436D2"/>
    <w:multiLevelType w:val="hybridMultilevel"/>
    <w:tmpl w:val="A18C19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00824BA"/>
    <w:multiLevelType w:val="hybridMultilevel"/>
    <w:tmpl w:val="38CC53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B0A0955"/>
    <w:multiLevelType w:val="hybridMultilevel"/>
    <w:tmpl w:val="65F498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56925B85"/>
    <w:multiLevelType w:val="hybridMultilevel"/>
    <w:tmpl w:val="9EC80D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59916690"/>
    <w:multiLevelType w:val="hybridMultilevel"/>
    <w:tmpl w:val="F68874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7364104C"/>
    <w:multiLevelType w:val="hybridMultilevel"/>
    <w:tmpl w:val="04CA13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60C0832"/>
    <w:multiLevelType w:val="hybridMultilevel"/>
    <w:tmpl w:val="13D2B2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7610026C"/>
    <w:multiLevelType w:val="hybridMultilevel"/>
    <w:tmpl w:val="E35824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77413D72"/>
    <w:multiLevelType w:val="hybridMultilevel"/>
    <w:tmpl w:val="945644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7761144E"/>
    <w:multiLevelType w:val="hybridMultilevel"/>
    <w:tmpl w:val="942E2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9"/>
  </w:num>
  <w:num w:numId="5">
    <w:abstractNumId w:val="5"/>
  </w:num>
  <w:num w:numId="6">
    <w:abstractNumId w:val="2"/>
  </w:num>
  <w:num w:numId="7">
    <w:abstractNumId w:val="10"/>
  </w:num>
  <w:num w:numId="8">
    <w:abstractNumId w:val="3"/>
  </w:num>
  <w:num w:numId="9">
    <w:abstractNumId w:val="8"/>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24D"/>
    <w:rsid w:val="003024AE"/>
    <w:rsid w:val="003A0D34"/>
    <w:rsid w:val="0048324D"/>
    <w:rsid w:val="004C49FB"/>
    <w:rsid w:val="0062437C"/>
    <w:rsid w:val="00777FB1"/>
    <w:rsid w:val="007F7196"/>
    <w:rsid w:val="009A2609"/>
    <w:rsid w:val="00A724BF"/>
    <w:rsid w:val="00AF6802"/>
    <w:rsid w:val="00D72D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24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832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8324D"/>
    <w:rPr>
      <w:rFonts w:ascii="Tahoma" w:hAnsi="Tahoma" w:cs="Tahoma"/>
      <w:sz w:val="16"/>
      <w:szCs w:val="16"/>
    </w:rPr>
  </w:style>
  <w:style w:type="paragraph" w:styleId="PargrafodaLista">
    <w:name w:val="List Paragraph"/>
    <w:basedOn w:val="Normal"/>
    <w:uiPriority w:val="34"/>
    <w:qFormat/>
    <w:rsid w:val="004C49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24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832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8324D"/>
    <w:rPr>
      <w:rFonts w:ascii="Tahoma" w:hAnsi="Tahoma" w:cs="Tahoma"/>
      <w:sz w:val="16"/>
      <w:szCs w:val="16"/>
    </w:rPr>
  </w:style>
  <w:style w:type="paragraph" w:styleId="PargrafodaLista">
    <w:name w:val="List Paragraph"/>
    <w:basedOn w:val="Normal"/>
    <w:uiPriority w:val="34"/>
    <w:qFormat/>
    <w:rsid w:val="004C49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image" Target="media/image42.emf"/><Relationship Id="rId50" Type="http://schemas.openxmlformats.org/officeDocument/2006/relationships/image" Target="media/image45.emf"/><Relationship Id="rId55" Type="http://schemas.openxmlformats.org/officeDocument/2006/relationships/image" Target="media/image50.emf"/><Relationship Id="rId63" Type="http://schemas.openxmlformats.org/officeDocument/2006/relationships/image" Target="media/image58.emf"/><Relationship Id="rId68" Type="http://schemas.openxmlformats.org/officeDocument/2006/relationships/image" Target="media/image63.emf"/><Relationship Id="rId76" Type="http://schemas.openxmlformats.org/officeDocument/2006/relationships/image" Target="media/image71.emf"/><Relationship Id="rId84" Type="http://schemas.openxmlformats.org/officeDocument/2006/relationships/image" Target="media/image79.emf"/><Relationship Id="rId7" Type="http://schemas.openxmlformats.org/officeDocument/2006/relationships/image" Target="media/image2.emf"/><Relationship Id="rId71" Type="http://schemas.openxmlformats.org/officeDocument/2006/relationships/image" Target="media/image66.emf"/><Relationship Id="rId2" Type="http://schemas.openxmlformats.org/officeDocument/2006/relationships/styles" Target="styles.xml"/><Relationship Id="rId16" Type="http://schemas.openxmlformats.org/officeDocument/2006/relationships/image" Target="media/image11.emf"/><Relationship Id="rId29" Type="http://schemas.openxmlformats.org/officeDocument/2006/relationships/image" Target="media/image24.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3" Type="http://schemas.openxmlformats.org/officeDocument/2006/relationships/image" Target="media/image48.emf"/><Relationship Id="rId58" Type="http://schemas.openxmlformats.org/officeDocument/2006/relationships/image" Target="media/image53.emf"/><Relationship Id="rId66" Type="http://schemas.openxmlformats.org/officeDocument/2006/relationships/image" Target="media/image61.emf"/><Relationship Id="rId74" Type="http://schemas.openxmlformats.org/officeDocument/2006/relationships/image" Target="media/image69.emf"/><Relationship Id="rId79" Type="http://schemas.openxmlformats.org/officeDocument/2006/relationships/image" Target="media/image74.emf"/><Relationship Id="rId5" Type="http://schemas.openxmlformats.org/officeDocument/2006/relationships/webSettings" Target="webSettings.xml"/><Relationship Id="rId61" Type="http://schemas.openxmlformats.org/officeDocument/2006/relationships/image" Target="media/image56.emf"/><Relationship Id="rId82" Type="http://schemas.openxmlformats.org/officeDocument/2006/relationships/image" Target="media/image77.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3.emf"/><Relationship Id="rId56" Type="http://schemas.openxmlformats.org/officeDocument/2006/relationships/image" Target="media/image51.emf"/><Relationship Id="rId64" Type="http://schemas.openxmlformats.org/officeDocument/2006/relationships/image" Target="media/image59.emf"/><Relationship Id="rId69" Type="http://schemas.openxmlformats.org/officeDocument/2006/relationships/image" Target="media/image64.emf"/><Relationship Id="rId77" Type="http://schemas.openxmlformats.org/officeDocument/2006/relationships/image" Target="media/image72.emf"/><Relationship Id="rId8" Type="http://schemas.openxmlformats.org/officeDocument/2006/relationships/image" Target="media/image3.emf"/><Relationship Id="rId51" Type="http://schemas.openxmlformats.org/officeDocument/2006/relationships/image" Target="media/image46.emf"/><Relationship Id="rId72" Type="http://schemas.openxmlformats.org/officeDocument/2006/relationships/image" Target="media/image67.emf"/><Relationship Id="rId80" Type="http://schemas.openxmlformats.org/officeDocument/2006/relationships/image" Target="media/image75.emf"/><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59" Type="http://schemas.openxmlformats.org/officeDocument/2006/relationships/image" Target="media/image54.emf"/><Relationship Id="rId67" Type="http://schemas.openxmlformats.org/officeDocument/2006/relationships/image" Target="media/image62.emf"/><Relationship Id="rId20" Type="http://schemas.openxmlformats.org/officeDocument/2006/relationships/image" Target="media/image15.emf"/><Relationship Id="rId41" Type="http://schemas.openxmlformats.org/officeDocument/2006/relationships/image" Target="media/image36.emf"/><Relationship Id="rId54" Type="http://schemas.openxmlformats.org/officeDocument/2006/relationships/image" Target="media/image49.emf"/><Relationship Id="rId62" Type="http://schemas.openxmlformats.org/officeDocument/2006/relationships/image" Target="media/image57.emf"/><Relationship Id="rId70" Type="http://schemas.openxmlformats.org/officeDocument/2006/relationships/image" Target="media/image65.emf"/><Relationship Id="rId75" Type="http://schemas.openxmlformats.org/officeDocument/2006/relationships/image" Target="media/image70.emf"/><Relationship Id="rId83" Type="http://schemas.openxmlformats.org/officeDocument/2006/relationships/image" Target="media/image78.emf"/><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emf"/><Relationship Id="rId57" Type="http://schemas.openxmlformats.org/officeDocument/2006/relationships/image" Target="media/image52.emf"/><Relationship Id="rId10" Type="http://schemas.openxmlformats.org/officeDocument/2006/relationships/image" Target="media/image5.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60" Type="http://schemas.openxmlformats.org/officeDocument/2006/relationships/image" Target="media/image55.emf"/><Relationship Id="rId65" Type="http://schemas.openxmlformats.org/officeDocument/2006/relationships/image" Target="media/image60.emf"/><Relationship Id="rId73" Type="http://schemas.openxmlformats.org/officeDocument/2006/relationships/image" Target="media/image68.emf"/><Relationship Id="rId78" Type="http://schemas.openxmlformats.org/officeDocument/2006/relationships/image" Target="media/image73.emf"/><Relationship Id="rId81" Type="http://schemas.openxmlformats.org/officeDocument/2006/relationships/image" Target="media/image76.emf"/><Relationship Id="rId86"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21657</Words>
  <Characters>116949</Characters>
  <Application>Microsoft Office Word</Application>
  <DocSecurity>4</DocSecurity>
  <Lines>974</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Nathalia do Nascimento Matias dos Santos</dc:creator>
  <cp:lastModifiedBy>Danilo Renato dos Santos Guerra</cp:lastModifiedBy>
  <cp:revision>2</cp:revision>
  <dcterms:created xsi:type="dcterms:W3CDTF">2017-08-01T19:12:00Z</dcterms:created>
  <dcterms:modified xsi:type="dcterms:W3CDTF">2017-08-01T19:12:00Z</dcterms:modified>
</cp:coreProperties>
</file>